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eastAsia="宋体" w:cs="Times New Roman"/>
          <w:b w:val="0"/>
          <w:bCs w:val="0"/>
          <w:color w:val="auto"/>
          <w:kern w:val="2"/>
          <w:sz w:val="21"/>
          <w:szCs w:val="24"/>
          <w:lang w:val="zh-CN"/>
        </w:rPr>
        <w:id w:val="1620101198"/>
      </w:sdtPr>
      <w:sdtEndPr>
        <w:rPr>
          <w:rFonts w:ascii="Times New Roman" w:hAnsi="Times New Roman" w:eastAsia="宋体" w:cs="Times New Roman"/>
          <w:b w:val="0"/>
          <w:bCs w:val="0"/>
          <w:color w:val="auto"/>
          <w:kern w:val="2"/>
          <w:sz w:val="21"/>
          <w:szCs w:val="24"/>
          <w:lang w:val="zh-CN"/>
        </w:rPr>
      </w:sdtEndPr>
      <w:sdtContent>
        <w:p>
          <w:pPr>
            <w:pStyle w:val="16"/>
            <w:rPr>
              <w:rFonts w:ascii="黑体" w:hAnsi="黑体" w:eastAsia="黑体" w:cstheme="minorBidi"/>
              <w:b w:val="0"/>
              <w:bCs w:val="0"/>
              <w:color w:val="auto"/>
              <w:kern w:val="2"/>
              <w:sz w:val="32"/>
              <w:szCs w:val="32"/>
              <w:lang w:val="zh-CN"/>
            </w:rPr>
          </w:pPr>
          <w:r>
            <w:rPr>
              <w:rFonts w:hint="eastAsia" w:ascii="黑体" w:hAnsi="黑体" w:eastAsia="黑体" w:cstheme="minorBidi"/>
              <w:b w:val="0"/>
              <w:bCs w:val="0"/>
              <w:color w:val="auto"/>
              <w:kern w:val="2"/>
              <w:sz w:val="32"/>
              <w:szCs w:val="32"/>
              <w:lang w:val="zh-CN"/>
            </w:rPr>
            <w:t>附件</w:t>
          </w:r>
          <w:r>
            <w:rPr>
              <w:rFonts w:hint="eastAsia" w:ascii="黑体" w:hAnsi="黑体" w:eastAsia="黑体" w:cstheme="minorBidi"/>
              <w:b w:val="0"/>
              <w:bCs w:val="0"/>
              <w:color w:val="auto"/>
              <w:kern w:val="2"/>
              <w:sz w:val="32"/>
              <w:szCs w:val="32"/>
            </w:rPr>
            <w:t>2</w:t>
          </w:r>
        </w:p>
        <w:p/>
        <w:p>
          <w:pPr>
            <w:pStyle w:val="20"/>
            <w:keepNext w:val="0"/>
            <w:keepLines w:val="0"/>
            <w:pageBreakBefore w:val="0"/>
            <w:widowControl w:val="0"/>
            <w:kinsoku/>
            <w:wordWrap/>
            <w:overflowPunct/>
            <w:topLinePunct w:val="0"/>
            <w:autoSpaceDE/>
            <w:autoSpaceDN/>
            <w:bidi w:val="0"/>
            <w:adjustRightInd/>
            <w:snapToGrid w:val="0"/>
            <w:spacing w:line="240" w:lineRule="auto"/>
            <w:ind w:left="363"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司法行政（法律服务）案例库</w:t>
          </w:r>
        </w:p>
        <w:p>
          <w:pPr>
            <w:pStyle w:val="20"/>
            <w:keepNext w:val="0"/>
            <w:keepLines w:val="0"/>
            <w:pageBreakBefore w:val="0"/>
            <w:widowControl w:val="0"/>
            <w:kinsoku/>
            <w:wordWrap/>
            <w:overflowPunct/>
            <w:topLinePunct w:val="0"/>
            <w:autoSpaceDE/>
            <w:autoSpaceDN/>
            <w:bidi w:val="0"/>
            <w:adjustRightInd/>
            <w:snapToGrid w:val="0"/>
            <w:spacing w:line="240" w:lineRule="auto"/>
            <w:ind w:left="363"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相关业务案例选编实施办法</w:t>
          </w:r>
        </w:p>
        <w:p>
          <w:pPr>
            <w:pStyle w:val="16"/>
            <w:jc w:val="center"/>
            <w:rPr>
              <w:rFonts w:ascii="黑体" w:hAnsi="黑体" w:eastAsia="黑体"/>
              <w:color w:val="auto"/>
              <w:sz w:val="44"/>
              <w:szCs w:val="44"/>
            </w:rPr>
          </w:pPr>
          <w:r>
            <w:rPr>
              <w:rFonts w:hint="eastAsia" w:ascii="黑体" w:hAnsi="黑体" w:eastAsia="黑体"/>
              <w:color w:val="auto"/>
              <w:sz w:val="44"/>
              <w:szCs w:val="44"/>
              <w:lang w:val="zh-CN"/>
            </w:rPr>
            <w:t>目  录</w:t>
          </w:r>
        </w:p>
        <w:p>
          <w:pPr>
            <w:pStyle w:val="6"/>
            <w:tabs>
              <w:tab w:val="right" w:leader="dot" w:pos="8538"/>
            </w:tabs>
            <w:rPr>
              <w:rFonts w:hint="eastAsia" w:ascii="仿宋_GB2312" w:eastAsia="仿宋_GB2312" w:hAnsiTheme="minorHAnsi" w:cstheme="minorBidi"/>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TOC \o "1-3" \h \z \u </w:instrText>
          </w:r>
          <w:r>
            <w:rPr>
              <w:rFonts w:hint="eastAsia" w:ascii="仿宋_GB2312" w:eastAsia="仿宋_GB2312"/>
              <w:sz w:val="28"/>
              <w:szCs w:val="28"/>
            </w:rPr>
            <w:fldChar w:fldCharType="separate"/>
          </w:r>
          <w:r>
            <w:rPr>
              <w:rFonts w:hint="eastAsia" w:ascii="仿宋_GB2312" w:eastAsia="仿宋_GB2312"/>
              <w:sz w:val="28"/>
              <w:szCs w:val="28"/>
              <w:lang w:eastAsia="zh-CN"/>
            </w:rPr>
            <w:t>一</w:t>
          </w:r>
          <w:r>
            <w:rPr>
              <w:rFonts w:hint="eastAsia" w:ascii="仿宋_GB2312" w:eastAsia="仿宋_GB2312"/>
              <w:sz w:val="28"/>
              <w:szCs w:val="28"/>
            </w:rPr>
            <w:t>、</w:t>
          </w:r>
          <w:r>
            <w:fldChar w:fldCharType="begin"/>
          </w:r>
          <w:r>
            <w:instrText xml:space="preserve"> HYPERLINK \l "_Toc492316949" </w:instrText>
          </w:r>
          <w:r>
            <w:fldChar w:fldCharType="separate"/>
          </w:r>
          <w:r>
            <w:rPr>
              <w:rStyle w:val="9"/>
              <w:rFonts w:hint="eastAsia" w:ascii="仿宋_GB2312"/>
              <w:sz w:val="28"/>
              <w:szCs w:val="28"/>
            </w:rPr>
            <w:t>司法行政（法律服务）案例库社区矫正案例选编实施办法</w:t>
          </w:r>
          <w:r>
            <w:rPr>
              <w:rFonts w:hint="eastAsia" w:ascii="仿宋_GB2312" w:eastAsia="仿宋_GB2312"/>
              <w:sz w:val="28"/>
              <w:szCs w:val="28"/>
            </w:rPr>
            <w:tab/>
          </w:r>
          <w:r>
            <w:rPr>
              <w:rFonts w:hint="eastAsia" w:ascii="仿宋_GB2312" w:eastAsia="仿宋_GB2312"/>
              <w:sz w:val="28"/>
              <w:szCs w:val="28"/>
              <w:lang w:val="en-US" w:eastAsia="zh-CN"/>
            </w:rPr>
            <w:t>2</w:t>
          </w:r>
          <w:r>
            <w:rPr>
              <w:rFonts w:hint="eastAsia" w:ascii="仿宋_GB2312" w:eastAsia="仿宋_GB2312"/>
              <w:sz w:val="28"/>
              <w:szCs w:val="28"/>
            </w:rPr>
            <w:fldChar w:fldCharType="end"/>
          </w:r>
        </w:p>
        <w:p>
          <w:pPr>
            <w:pStyle w:val="6"/>
            <w:tabs>
              <w:tab w:val="right" w:leader="dot" w:pos="8538"/>
            </w:tabs>
            <w:rPr>
              <w:rFonts w:hint="eastAsia" w:ascii="仿宋_GB2312" w:eastAsia="仿宋_GB2312" w:hAnsiTheme="minorHAnsi" w:cstheme="minorBidi"/>
              <w:sz w:val="28"/>
              <w:szCs w:val="28"/>
            </w:rPr>
          </w:pPr>
          <w:r>
            <w:rPr>
              <w:rFonts w:hint="eastAsia" w:ascii="仿宋_GB2312" w:eastAsia="仿宋_GB2312"/>
              <w:sz w:val="28"/>
              <w:szCs w:val="28"/>
              <w:lang w:eastAsia="zh-CN"/>
            </w:rPr>
            <w:t>二</w:t>
          </w:r>
          <w:r>
            <w:rPr>
              <w:rFonts w:hint="eastAsia" w:ascii="仿宋_GB2312" w:eastAsia="仿宋_GB2312"/>
              <w:sz w:val="28"/>
              <w:szCs w:val="28"/>
            </w:rPr>
            <w:t>、</w:t>
          </w:r>
          <w:r>
            <w:fldChar w:fldCharType="begin"/>
          </w:r>
          <w:r>
            <w:instrText xml:space="preserve"> HYPERLINK \l "_Toc492316950" </w:instrText>
          </w:r>
          <w:r>
            <w:fldChar w:fldCharType="separate"/>
          </w:r>
          <w:r>
            <w:rPr>
              <w:rStyle w:val="9"/>
              <w:rFonts w:hint="eastAsia" w:ascii="仿宋_GB2312"/>
              <w:sz w:val="28"/>
              <w:szCs w:val="28"/>
            </w:rPr>
            <w:t>司法行政（法律服务）案例库法治宣传教育案例选编实施办法</w:t>
          </w:r>
          <w:r>
            <w:rPr>
              <w:rFonts w:hint="eastAsia" w:ascii="仿宋_GB2312" w:eastAsia="仿宋_GB2312"/>
              <w:sz w:val="28"/>
              <w:szCs w:val="28"/>
            </w:rPr>
            <w:tab/>
          </w:r>
          <w:r>
            <w:rPr>
              <w:rFonts w:hint="eastAsia" w:ascii="仿宋_GB2312" w:eastAsia="仿宋_GB2312"/>
              <w:sz w:val="28"/>
              <w:szCs w:val="28"/>
              <w:lang w:val="en-US" w:eastAsia="zh-CN"/>
            </w:rPr>
            <w:t>6</w:t>
          </w:r>
          <w:r>
            <w:rPr>
              <w:rFonts w:hint="eastAsia" w:ascii="仿宋_GB2312" w:eastAsia="仿宋_GB2312"/>
              <w:sz w:val="28"/>
              <w:szCs w:val="28"/>
            </w:rPr>
            <w:fldChar w:fldCharType="end"/>
          </w:r>
        </w:p>
        <w:p>
          <w:pPr>
            <w:pStyle w:val="6"/>
            <w:tabs>
              <w:tab w:val="right" w:leader="dot" w:pos="8538"/>
            </w:tabs>
            <w:rPr>
              <w:rFonts w:hint="eastAsia" w:ascii="仿宋_GB2312" w:eastAsia="仿宋_GB2312" w:hAnsiTheme="minorHAnsi" w:cstheme="minorBidi"/>
              <w:sz w:val="28"/>
              <w:szCs w:val="28"/>
            </w:rPr>
          </w:pPr>
          <w:r>
            <w:rPr>
              <w:rFonts w:hint="eastAsia" w:ascii="仿宋_GB2312" w:eastAsia="仿宋_GB2312"/>
              <w:sz w:val="28"/>
              <w:szCs w:val="28"/>
              <w:lang w:eastAsia="zh-CN"/>
            </w:rPr>
            <w:t>三</w:t>
          </w:r>
          <w:r>
            <w:rPr>
              <w:rFonts w:hint="eastAsia" w:ascii="仿宋_GB2312" w:eastAsia="仿宋_GB2312"/>
              <w:sz w:val="28"/>
              <w:szCs w:val="28"/>
            </w:rPr>
            <w:t>、</w:t>
          </w:r>
          <w:r>
            <w:fldChar w:fldCharType="begin"/>
          </w:r>
          <w:r>
            <w:instrText xml:space="preserve"> HYPERLINK \l "_Toc492316951" </w:instrText>
          </w:r>
          <w:r>
            <w:fldChar w:fldCharType="separate"/>
          </w:r>
          <w:r>
            <w:rPr>
              <w:rStyle w:val="9"/>
              <w:rFonts w:hint="eastAsia" w:ascii="仿宋_GB2312"/>
              <w:sz w:val="28"/>
              <w:szCs w:val="28"/>
            </w:rPr>
            <w:t>司法行政（法律服务）案例库律师行业案例选编实施办法</w:t>
          </w:r>
          <w:r>
            <w:rPr>
              <w:rFonts w:hint="eastAsia" w:ascii="仿宋_GB2312" w:eastAsia="仿宋_GB2312"/>
              <w:sz w:val="28"/>
              <w:szCs w:val="28"/>
            </w:rPr>
            <w:tab/>
          </w:r>
          <w:r>
            <w:rPr>
              <w:rFonts w:hint="eastAsia" w:ascii="仿宋_GB2312" w:eastAsia="仿宋_GB2312"/>
              <w:sz w:val="28"/>
              <w:szCs w:val="28"/>
              <w:lang w:val="en-US" w:eastAsia="zh-CN"/>
            </w:rPr>
            <w:t>8</w:t>
          </w:r>
          <w:r>
            <w:rPr>
              <w:rFonts w:hint="eastAsia" w:ascii="仿宋_GB2312" w:eastAsia="仿宋_GB2312"/>
              <w:sz w:val="28"/>
              <w:szCs w:val="28"/>
            </w:rPr>
            <w:fldChar w:fldCharType="end"/>
          </w:r>
        </w:p>
        <w:p>
          <w:pPr>
            <w:pStyle w:val="6"/>
            <w:tabs>
              <w:tab w:val="right" w:leader="dot" w:pos="8538"/>
            </w:tabs>
            <w:rPr>
              <w:rFonts w:hint="eastAsia" w:ascii="仿宋_GB2312" w:eastAsia="仿宋_GB2312" w:hAnsiTheme="minorHAnsi" w:cstheme="minorBidi"/>
              <w:sz w:val="28"/>
              <w:szCs w:val="28"/>
            </w:rPr>
          </w:pPr>
          <w:r>
            <w:rPr>
              <w:rFonts w:hint="eastAsia" w:ascii="仿宋_GB2312" w:eastAsia="仿宋_GB2312"/>
              <w:sz w:val="28"/>
              <w:szCs w:val="28"/>
              <w:lang w:eastAsia="zh-CN"/>
            </w:rPr>
            <w:t>四</w:t>
          </w:r>
          <w:r>
            <w:rPr>
              <w:rFonts w:hint="eastAsia" w:ascii="仿宋_GB2312" w:eastAsia="仿宋_GB2312"/>
              <w:sz w:val="28"/>
              <w:szCs w:val="28"/>
            </w:rPr>
            <w:t>、</w:t>
          </w:r>
          <w:r>
            <w:fldChar w:fldCharType="begin"/>
          </w:r>
          <w:r>
            <w:instrText xml:space="preserve"> HYPERLINK \l "_Toc492316952" </w:instrText>
          </w:r>
          <w:r>
            <w:fldChar w:fldCharType="separate"/>
          </w:r>
          <w:r>
            <w:rPr>
              <w:rStyle w:val="9"/>
              <w:rFonts w:hint="eastAsia" w:ascii="仿宋_GB2312"/>
              <w:sz w:val="28"/>
              <w:szCs w:val="28"/>
            </w:rPr>
            <w:t>司法行政（法律服务）案例库公证行业案例选编实施办法</w:t>
          </w:r>
          <w:r>
            <w:rPr>
              <w:rFonts w:hint="eastAsia" w:ascii="仿宋_GB2312" w:eastAsia="仿宋_GB2312"/>
              <w:sz w:val="28"/>
              <w:szCs w:val="28"/>
            </w:rPr>
            <w:tab/>
          </w:r>
          <w:r>
            <w:rPr>
              <w:rFonts w:hint="eastAsia" w:ascii="仿宋_GB2312" w:eastAsia="仿宋_GB2312"/>
              <w:sz w:val="28"/>
              <w:szCs w:val="28"/>
              <w:lang w:val="en-US" w:eastAsia="zh-CN"/>
            </w:rPr>
            <w:t>1</w:t>
          </w:r>
          <w:r>
            <w:rPr>
              <w:rFonts w:hint="eastAsia" w:ascii="仿宋_GB2312" w:eastAsia="仿宋_GB2312"/>
              <w:sz w:val="28"/>
              <w:szCs w:val="28"/>
            </w:rPr>
            <w:fldChar w:fldCharType="end"/>
          </w:r>
          <w:r>
            <w:rPr>
              <w:rFonts w:hint="eastAsia" w:ascii="仿宋_GB2312" w:eastAsia="仿宋_GB2312"/>
              <w:sz w:val="28"/>
              <w:szCs w:val="28"/>
              <w:lang w:val="en-US" w:eastAsia="zh-CN"/>
            </w:rPr>
            <w:t>1</w:t>
          </w:r>
        </w:p>
        <w:p>
          <w:pPr>
            <w:pStyle w:val="6"/>
            <w:tabs>
              <w:tab w:val="right" w:leader="dot" w:pos="8538"/>
            </w:tabs>
            <w:rPr>
              <w:rFonts w:hint="eastAsia" w:ascii="仿宋_GB2312" w:eastAsia="仿宋_GB2312" w:hAnsiTheme="minorHAnsi" w:cstheme="minorBidi"/>
              <w:sz w:val="28"/>
              <w:szCs w:val="28"/>
            </w:rPr>
          </w:pPr>
          <w:r>
            <w:rPr>
              <w:rFonts w:hint="eastAsia" w:ascii="仿宋_GB2312" w:eastAsia="仿宋_GB2312"/>
              <w:sz w:val="28"/>
              <w:szCs w:val="28"/>
              <w:lang w:eastAsia="zh-CN"/>
            </w:rPr>
            <w:t>五</w:t>
          </w:r>
          <w:r>
            <w:rPr>
              <w:rFonts w:hint="eastAsia" w:ascii="仿宋_GB2312" w:eastAsia="仿宋_GB2312"/>
              <w:sz w:val="28"/>
              <w:szCs w:val="28"/>
            </w:rPr>
            <w:t>、</w:t>
          </w:r>
          <w:r>
            <w:fldChar w:fldCharType="begin"/>
          </w:r>
          <w:r>
            <w:instrText xml:space="preserve"> HYPERLINK \l "_Toc492316953" </w:instrText>
          </w:r>
          <w:r>
            <w:fldChar w:fldCharType="separate"/>
          </w:r>
          <w:r>
            <w:rPr>
              <w:rStyle w:val="9"/>
              <w:rFonts w:hint="eastAsia" w:ascii="仿宋_GB2312"/>
              <w:sz w:val="28"/>
              <w:szCs w:val="28"/>
            </w:rPr>
            <w:t>司法行政（法律服务）案例库法律援助案例选编实施办法</w:t>
          </w:r>
          <w:r>
            <w:rPr>
              <w:rFonts w:hint="eastAsia" w:ascii="仿宋_GB2312" w:eastAsia="仿宋_GB2312"/>
              <w:sz w:val="28"/>
              <w:szCs w:val="28"/>
            </w:rPr>
            <w:tab/>
          </w:r>
          <w:r>
            <w:rPr>
              <w:rFonts w:hint="eastAsia" w:ascii="仿宋_GB2312" w:eastAsia="仿宋_GB2312"/>
              <w:sz w:val="28"/>
              <w:szCs w:val="28"/>
              <w:lang w:val="en-US" w:eastAsia="zh-CN"/>
            </w:rPr>
            <w:t>1</w:t>
          </w:r>
          <w:r>
            <w:rPr>
              <w:rFonts w:hint="eastAsia" w:ascii="仿宋_GB2312" w:eastAsia="仿宋_GB2312"/>
              <w:sz w:val="28"/>
              <w:szCs w:val="28"/>
            </w:rPr>
            <w:fldChar w:fldCharType="end"/>
          </w:r>
          <w:r>
            <w:rPr>
              <w:rFonts w:hint="eastAsia" w:ascii="仿宋_GB2312" w:eastAsia="仿宋_GB2312"/>
              <w:sz w:val="28"/>
              <w:szCs w:val="28"/>
              <w:lang w:val="en-US" w:eastAsia="zh-CN"/>
            </w:rPr>
            <w:t>4</w:t>
          </w:r>
        </w:p>
        <w:p>
          <w:pPr>
            <w:pStyle w:val="6"/>
            <w:tabs>
              <w:tab w:val="right" w:leader="dot" w:pos="8538"/>
            </w:tabs>
            <w:rPr>
              <w:rFonts w:hint="eastAsia" w:ascii="仿宋_GB2312" w:eastAsia="仿宋_GB2312" w:hAnsiTheme="minorHAnsi" w:cstheme="minorBidi"/>
              <w:sz w:val="28"/>
              <w:szCs w:val="28"/>
            </w:rPr>
          </w:pPr>
          <w:r>
            <w:rPr>
              <w:rFonts w:hint="eastAsia" w:ascii="仿宋_GB2312" w:eastAsia="仿宋_GB2312"/>
              <w:sz w:val="28"/>
              <w:szCs w:val="28"/>
              <w:lang w:eastAsia="zh-CN"/>
            </w:rPr>
            <w:t>六</w:t>
          </w:r>
          <w:r>
            <w:rPr>
              <w:rFonts w:hint="eastAsia" w:ascii="仿宋_GB2312" w:eastAsia="仿宋_GB2312"/>
              <w:sz w:val="28"/>
              <w:szCs w:val="28"/>
            </w:rPr>
            <w:t>、</w:t>
          </w:r>
          <w:r>
            <w:fldChar w:fldCharType="begin"/>
          </w:r>
          <w:r>
            <w:instrText xml:space="preserve"> HYPERLINK \l "_Toc492316954" </w:instrText>
          </w:r>
          <w:r>
            <w:fldChar w:fldCharType="separate"/>
          </w:r>
          <w:r>
            <w:rPr>
              <w:rStyle w:val="9"/>
              <w:rFonts w:hint="eastAsia" w:ascii="仿宋_GB2312"/>
              <w:sz w:val="28"/>
              <w:szCs w:val="28"/>
            </w:rPr>
            <w:t>司法行政（法律服务）案例库人民调解案例选编实施办法</w:t>
          </w:r>
          <w:r>
            <w:rPr>
              <w:rFonts w:hint="eastAsia" w:ascii="仿宋_GB2312" w:eastAsia="仿宋_GB2312"/>
              <w:sz w:val="28"/>
              <w:szCs w:val="28"/>
            </w:rPr>
            <w:tab/>
          </w:r>
          <w:r>
            <w:rPr>
              <w:rFonts w:hint="eastAsia" w:ascii="仿宋_GB2312" w:eastAsia="仿宋_GB2312"/>
              <w:sz w:val="28"/>
              <w:szCs w:val="28"/>
              <w:lang w:val="en-US" w:eastAsia="zh-CN"/>
            </w:rPr>
            <w:t>1</w:t>
          </w:r>
          <w:r>
            <w:rPr>
              <w:rFonts w:hint="eastAsia" w:ascii="仿宋_GB2312" w:eastAsia="仿宋_GB2312"/>
              <w:sz w:val="28"/>
              <w:szCs w:val="28"/>
            </w:rPr>
            <w:fldChar w:fldCharType="end"/>
          </w:r>
          <w:r>
            <w:rPr>
              <w:rFonts w:hint="eastAsia" w:ascii="仿宋_GB2312" w:eastAsia="仿宋_GB2312"/>
              <w:sz w:val="28"/>
              <w:szCs w:val="28"/>
              <w:lang w:val="en-US" w:eastAsia="zh-CN"/>
            </w:rPr>
            <w:t>7</w:t>
          </w:r>
        </w:p>
        <w:p>
          <w:pPr>
            <w:pStyle w:val="6"/>
            <w:tabs>
              <w:tab w:val="right" w:leader="dot" w:pos="8538"/>
            </w:tabs>
            <w:rPr>
              <w:rFonts w:hint="eastAsia" w:ascii="仿宋_GB2312" w:eastAsia="仿宋_GB2312" w:hAnsiTheme="minorHAnsi" w:cstheme="minorBidi"/>
              <w:sz w:val="28"/>
              <w:szCs w:val="28"/>
            </w:rPr>
          </w:pPr>
          <w:r>
            <w:rPr>
              <w:rFonts w:hint="eastAsia" w:ascii="仿宋_GB2312" w:eastAsia="仿宋_GB2312"/>
              <w:sz w:val="28"/>
              <w:szCs w:val="28"/>
              <w:lang w:eastAsia="zh-CN"/>
            </w:rPr>
            <w:t>七</w:t>
          </w:r>
          <w:r>
            <w:rPr>
              <w:rFonts w:hint="eastAsia" w:ascii="仿宋_GB2312" w:eastAsia="仿宋_GB2312"/>
              <w:sz w:val="28"/>
              <w:szCs w:val="28"/>
            </w:rPr>
            <w:t>、</w:t>
          </w:r>
          <w:r>
            <w:fldChar w:fldCharType="begin"/>
          </w:r>
          <w:r>
            <w:instrText xml:space="preserve"> HYPERLINK \l "_Toc492316955" </w:instrText>
          </w:r>
          <w:r>
            <w:fldChar w:fldCharType="separate"/>
          </w:r>
          <w:r>
            <w:rPr>
              <w:rStyle w:val="9"/>
              <w:rFonts w:hint="eastAsia" w:ascii="仿宋_GB2312"/>
              <w:sz w:val="28"/>
              <w:szCs w:val="28"/>
            </w:rPr>
            <w:t>司法行政（法律服务）案例库国家司法考试案例选编实施办法</w:t>
          </w:r>
          <w:r>
            <w:rPr>
              <w:rFonts w:hint="eastAsia" w:ascii="仿宋_GB2312" w:eastAsia="仿宋_GB2312"/>
              <w:sz w:val="28"/>
              <w:szCs w:val="28"/>
            </w:rPr>
            <w:tab/>
          </w:r>
          <w:r>
            <w:rPr>
              <w:rFonts w:hint="eastAsia" w:ascii="仿宋_GB2312" w:eastAsia="仿宋_GB2312"/>
              <w:sz w:val="28"/>
              <w:szCs w:val="28"/>
              <w:lang w:val="en-US" w:eastAsia="zh-CN"/>
            </w:rPr>
            <w:t>2</w:t>
          </w:r>
          <w:r>
            <w:rPr>
              <w:rFonts w:hint="eastAsia" w:ascii="仿宋_GB2312" w:eastAsia="仿宋_GB2312"/>
              <w:sz w:val="28"/>
              <w:szCs w:val="28"/>
            </w:rPr>
            <w:fldChar w:fldCharType="end"/>
          </w:r>
          <w:r>
            <w:rPr>
              <w:rFonts w:hint="eastAsia" w:ascii="仿宋_GB2312" w:eastAsia="仿宋_GB2312"/>
              <w:sz w:val="28"/>
              <w:szCs w:val="28"/>
              <w:lang w:val="en-US" w:eastAsia="zh-CN"/>
            </w:rPr>
            <w:t>1</w:t>
          </w:r>
        </w:p>
        <w:p>
          <w:pPr>
            <w:pStyle w:val="6"/>
            <w:tabs>
              <w:tab w:val="right" w:leader="dot" w:pos="8538"/>
            </w:tabs>
            <w:rPr>
              <w:rFonts w:hint="eastAsia" w:ascii="仿宋_GB2312" w:eastAsia="仿宋_GB2312" w:hAnsiTheme="minorHAnsi" w:cstheme="minorBidi"/>
              <w:sz w:val="28"/>
              <w:szCs w:val="28"/>
            </w:rPr>
          </w:pPr>
          <w:r>
            <w:rPr>
              <w:rFonts w:hint="eastAsia" w:ascii="仿宋_GB2312" w:eastAsia="仿宋_GB2312"/>
              <w:sz w:val="28"/>
              <w:szCs w:val="28"/>
              <w:lang w:eastAsia="zh-CN"/>
            </w:rPr>
            <w:t>八</w:t>
          </w:r>
          <w:r>
            <w:rPr>
              <w:rFonts w:hint="eastAsia" w:ascii="仿宋_GB2312" w:eastAsia="仿宋_GB2312"/>
              <w:sz w:val="28"/>
              <w:szCs w:val="28"/>
            </w:rPr>
            <w:t>、</w:t>
          </w:r>
          <w:r>
            <w:fldChar w:fldCharType="begin"/>
          </w:r>
          <w:r>
            <w:instrText xml:space="preserve"> HYPERLINK \l "_Toc492316956" </w:instrText>
          </w:r>
          <w:r>
            <w:fldChar w:fldCharType="separate"/>
          </w:r>
          <w:r>
            <w:rPr>
              <w:rStyle w:val="9"/>
              <w:rFonts w:hint="eastAsia" w:ascii="仿宋_GB2312"/>
              <w:sz w:val="28"/>
              <w:szCs w:val="28"/>
            </w:rPr>
            <w:t>司法行政（法律服务）案例库司法鉴定案例选编实施办法</w:t>
          </w:r>
          <w:r>
            <w:rPr>
              <w:rFonts w:hint="eastAsia" w:ascii="仿宋_GB2312" w:eastAsia="仿宋_GB2312"/>
              <w:sz w:val="28"/>
              <w:szCs w:val="28"/>
            </w:rPr>
            <w:tab/>
          </w:r>
          <w:r>
            <w:rPr>
              <w:rFonts w:hint="eastAsia" w:ascii="仿宋_GB2312" w:eastAsia="仿宋_GB2312"/>
              <w:sz w:val="28"/>
              <w:szCs w:val="28"/>
              <w:lang w:val="en-US" w:eastAsia="zh-CN"/>
            </w:rPr>
            <w:t>2</w:t>
          </w:r>
          <w:r>
            <w:rPr>
              <w:rFonts w:hint="eastAsia" w:ascii="仿宋_GB2312" w:eastAsia="仿宋_GB2312"/>
              <w:sz w:val="28"/>
              <w:szCs w:val="28"/>
            </w:rPr>
            <w:fldChar w:fldCharType="end"/>
          </w:r>
          <w:r>
            <w:rPr>
              <w:rFonts w:hint="eastAsia" w:ascii="仿宋_GB2312" w:eastAsia="仿宋_GB2312"/>
              <w:sz w:val="28"/>
              <w:szCs w:val="28"/>
              <w:lang w:val="en-US" w:eastAsia="zh-CN"/>
            </w:rPr>
            <w:t>3</w:t>
          </w:r>
        </w:p>
        <w:p>
          <w:pPr>
            <w:pStyle w:val="6"/>
            <w:tabs>
              <w:tab w:val="right" w:leader="dot" w:pos="8538"/>
            </w:tabs>
            <w:rPr>
              <w:rFonts w:hint="eastAsia" w:ascii="仿宋_GB2312" w:eastAsia="仿宋_GB2312" w:hAnsiTheme="minorHAnsi" w:cstheme="minorBidi"/>
              <w:sz w:val="28"/>
              <w:szCs w:val="28"/>
            </w:rPr>
          </w:pPr>
          <w:r>
            <w:rPr>
              <w:rFonts w:hint="eastAsia" w:ascii="仿宋_GB2312" w:eastAsia="仿宋_GB2312"/>
              <w:sz w:val="28"/>
              <w:szCs w:val="28"/>
              <w:lang w:eastAsia="zh-CN"/>
            </w:rPr>
            <w:t>九</w:t>
          </w:r>
          <w:r>
            <w:rPr>
              <w:rFonts w:hint="eastAsia" w:ascii="仿宋_GB2312" w:eastAsia="仿宋_GB2312"/>
              <w:sz w:val="28"/>
              <w:szCs w:val="28"/>
            </w:rPr>
            <w:t>、</w:t>
          </w:r>
          <w:r>
            <w:fldChar w:fldCharType="begin"/>
          </w:r>
          <w:r>
            <w:instrText xml:space="preserve"> HYPERLINK \l "_Toc492316957" </w:instrText>
          </w:r>
          <w:r>
            <w:fldChar w:fldCharType="separate"/>
          </w:r>
          <w:r>
            <w:rPr>
              <w:rStyle w:val="9"/>
              <w:rFonts w:hint="eastAsia" w:ascii="仿宋_GB2312"/>
              <w:sz w:val="28"/>
              <w:szCs w:val="28"/>
            </w:rPr>
            <w:t>司法行政（法律服务）案例库行政复议行政应诉案例选编实施办法</w:t>
          </w:r>
          <w:r>
            <w:rPr>
              <w:rFonts w:hint="eastAsia" w:ascii="仿宋_GB2312" w:eastAsia="仿宋_GB2312"/>
              <w:sz w:val="28"/>
              <w:szCs w:val="28"/>
            </w:rPr>
            <w:tab/>
          </w:r>
          <w:r>
            <w:rPr>
              <w:rFonts w:hint="eastAsia" w:ascii="仿宋_GB2312" w:eastAsia="仿宋_GB2312"/>
              <w:sz w:val="28"/>
              <w:szCs w:val="28"/>
              <w:lang w:val="en-US" w:eastAsia="zh-CN"/>
            </w:rPr>
            <w:t>2</w:t>
          </w:r>
          <w:r>
            <w:rPr>
              <w:rFonts w:hint="eastAsia" w:ascii="仿宋_GB2312" w:eastAsia="仿宋_GB2312"/>
              <w:sz w:val="28"/>
              <w:szCs w:val="28"/>
            </w:rPr>
            <w:fldChar w:fldCharType="end"/>
          </w:r>
          <w:r>
            <w:rPr>
              <w:rFonts w:hint="eastAsia" w:ascii="仿宋_GB2312" w:eastAsia="仿宋_GB2312"/>
              <w:sz w:val="28"/>
              <w:szCs w:val="28"/>
              <w:lang w:val="en-US" w:eastAsia="zh-CN"/>
            </w:rPr>
            <w:t>6</w:t>
          </w:r>
        </w:p>
        <w:p>
          <w:r>
            <w:rPr>
              <w:rFonts w:hint="eastAsia" w:ascii="仿宋_GB2312" w:eastAsia="仿宋_GB2312"/>
              <w:b/>
              <w:bCs/>
              <w:sz w:val="28"/>
              <w:szCs w:val="28"/>
              <w:lang w:val="zh-CN"/>
            </w:rPr>
            <w:fldChar w:fldCharType="end"/>
          </w:r>
        </w:p>
      </w:sdtContent>
    </w:sdt>
    <w:p>
      <w:pPr>
        <w:rPr>
          <w:rFonts w:ascii="长城小标宋体" w:eastAsia="长城小标宋体"/>
          <w:sz w:val="44"/>
          <w:szCs w:val="44"/>
        </w:rPr>
      </w:pPr>
    </w:p>
    <w:p>
      <w:pPr>
        <w:rPr>
          <w:rFonts w:ascii="长城小标宋体" w:eastAsia="长城小标宋体"/>
          <w:sz w:val="44"/>
          <w:szCs w:val="44"/>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pStyle w:val="2"/>
        <w:keepNext/>
        <w:keepLines/>
        <w:pageBreakBefore w:val="0"/>
        <w:widowControl w:val="0"/>
        <w:kinsoku/>
        <w:wordWrap/>
        <w:overflowPunct/>
        <w:topLinePunct w:val="0"/>
        <w:autoSpaceDE/>
        <w:autoSpaceDN/>
        <w:bidi w:val="0"/>
        <w:adjustRightInd/>
        <w:snapToGrid w:val="0"/>
        <w:spacing w:before="340" w:after="330" w:line="240" w:lineRule="auto"/>
        <w:ind w:left="0" w:leftChars="0" w:right="0" w:rightChars="0" w:firstLine="0" w:firstLineChars="0"/>
        <w:jc w:val="center"/>
        <w:textAlignment w:val="auto"/>
        <w:outlineLvl w:val="0"/>
        <w:rPr>
          <w:rFonts w:ascii="仿宋" w:hAnsi="仿宋" w:eastAsia="仿宋"/>
          <w:sz w:val="32"/>
          <w:szCs w:val="32"/>
        </w:rPr>
      </w:pPr>
      <w:bookmarkStart w:id="0" w:name="_Toc492316949"/>
      <w:r>
        <w:rPr>
          <w:rFonts w:hint="eastAsia" w:ascii="方正小标宋简体" w:hAnsi="方正小标宋简体" w:eastAsia="方正小标宋简体" w:cs="方正小标宋简体"/>
          <w:b w:val="0"/>
        </w:rPr>
        <w:t>司法行政（法律服务）案例库社区矫正案例选编实施办法</w:t>
      </w:r>
      <w:bookmarkEnd w:id="0"/>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根据《司法部关于建立司法行政（法律服务）案例库的方案》的要求，结合社区矫正工作实际，制定社区矫正系统案例选编实施办法，请遵照执行。</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一、案例选编范围、类型</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主要筛选2016年以来社区矫正工作典型案例，包括2016年以来已上报司</w:t>
      </w:r>
      <w:bookmarkStart w:id="9" w:name="_GoBack"/>
      <w:bookmarkEnd w:id="9"/>
      <w:r>
        <w:rPr>
          <w:rFonts w:hint="eastAsia" w:ascii="仿宋_GB2312" w:hAnsi="仿宋" w:eastAsia="仿宋_GB2312"/>
          <w:sz w:val="32"/>
          <w:szCs w:val="32"/>
        </w:rPr>
        <w:t>法部案例中符合本次选编范围、标准等要求的案例。</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（一）对被判处管制、宣告缓刑、假释或者暂予监外执行类社区服刑人员依法接收入矫（包括居住地核实、调查评估、报到接收、组织宣告等环节内容）的案例。</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（二）社区服刑人员在接受社区矫正中有违反国家法律、行政法规和社区矫正规定行为，或者违反人民法院禁止令，被依法给予警告的案例。</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（三）被宣告缓刑、假释或暂予监外执行的社区服刑人员违反社区矫正规定，符合法定收监执行条件，被撤销缓刑、撤销假释、收监执行的案例。</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（四）社区矫正机构对社区服刑人员依法实施社区矫正的案例，或者依法实施教育矫正的案例，或者执行人民法院禁止令的案例，或者依法依政策开展社会适应性帮扶的案例，或者依法实施监督的案例。</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（五）社区服刑人员在接受社区矫正中违反监督管理规定或者人民法院禁止令，被依法治安管理处罚等特殊典型案例。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二、案例选编原则、标准 </w:t>
      </w:r>
    </w:p>
    <w:p>
      <w:pPr>
        <w:spacing w:line="600" w:lineRule="exact"/>
        <w:ind w:firstLine="640" w:firstLineChars="200"/>
        <w:rPr>
          <w:rFonts w:ascii="仿宋_GB2312" w:hAnsi="仿宋" w:eastAsia="仿宋_GB2312"/>
          <w:sz w:val="32"/>
          <w:szCs w:val="32"/>
        </w:rPr>
      </w:pPr>
      <w:r>
        <w:rPr>
          <w:rFonts w:hint="eastAsia" w:ascii="楷体_GB2312" w:hAnsi="仿宋" w:eastAsia="楷体_GB2312"/>
          <w:sz w:val="32"/>
          <w:szCs w:val="32"/>
        </w:rPr>
        <w:t>（一）选编的案例应当具有指导性。</w:t>
      </w:r>
      <w:r>
        <w:rPr>
          <w:rFonts w:hint="eastAsia" w:ascii="仿宋_GB2312" w:hAnsi="仿宋" w:eastAsia="仿宋_GB2312"/>
          <w:sz w:val="32"/>
          <w:szCs w:val="32"/>
        </w:rPr>
        <w:t>选编的案例对社区矫正机构依法实施社区矫正具有指导意义，便于学习借鉴经验或吸取教训，有利于社区矫正的法律、法规统一适用，有利于推动社区矫正工作依法开展、规范运行。</w:t>
      </w:r>
    </w:p>
    <w:p>
      <w:pPr>
        <w:spacing w:line="600" w:lineRule="exact"/>
        <w:ind w:firstLine="640" w:firstLineChars="200"/>
        <w:rPr>
          <w:rFonts w:ascii="仿宋_GB2312" w:hAnsi="仿宋" w:eastAsia="仿宋_GB2312"/>
          <w:sz w:val="32"/>
          <w:szCs w:val="32"/>
        </w:rPr>
      </w:pPr>
      <w:r>
        <w:rPr>
          <w:rFonts w:hint="eastAsia" w:ascii="楷体_GB2312" w:hAnsi="仿宋" w:eastAsia="楷体_GB2312"/>
          <w:sz w:val="32"/>
          <w:szCs w:val="32"/>
        </w:rPr>
        <w:t>（二）选编的案例应当具有代表性。</w:t>
      </w:r>
      <w:r>
        <w:rPr>
          <w:rFonts w:hint="eastAsia" w:ascii="仿宋_GB2312" w:hAnsi="仿宋" w:eastAsia="仿宋_GB2312"/>
          <w:sz w:val="32"/>
          <w:szCs w:val="32"/>
        </w:rPr>
        <w:t>选编的案例能够反映社区矫正工作发展，体现社区矫正工作各有关环节的工作要求和工作方式方法，体现社区矫正机构依法实施社区矫正法律要求和工作模式。选编的正面案例应当反映社区矫正机构工作依法依规对社区服刑人员实施社区矫正中作出的决定、制定的实施措施或者取得好的效果；选编的反面案例应当真实反映实践工作中不足、失误的具体事实，有原因分析、对策建议，具有较强借鉴、参考作用。</w:t>
      </w:r>
    </w:p>
    <w:p>
      <w:pPr>
        <w:spacing w:line="600" w:lineRule="exact"/>
        <w:ind w:firstLine="640" w:firstLineChars="200"/>
        <w:rPr>
          <w:rFonts w:ascii="仿宋_GB2312" w:hAnsi="仿宋" w:eastAsia="仿宋_GB2312"/>
          <w:sz w:val="32"/>
          <w:szCs w:val="32"/>
        </w:rPr>
      </w:pPr>
      <w:r>
        <w:rPr>
          <w:rFonts w:hint="eastAsia" w:ascii="楷体_GB2312" w:hAnsi="仿宋" w:eastAsia="楷体_GB2312"/>
          <w:sz w:val="32"/>
          <w:szCs w:val="32"/>
        </w:rPr>
        <w:t>（三）选编的案例应当具有时代性。</w:t>
      </w:r>
      <w:r>
        <w:rPr>
          <w:rFonts w:hint="eastAsia" w:ascii="仿宋_GB2312" w:hAnsi="仿宋" w:eastAsia="仿宋_GB2312"/>
          <w:sz w:val="32"/>
          <w:szCs w:val="32"/>
        </w:rPr>
        <w:t>选编的案例应当是自2012年最高人民法院、最高人民检察院、公安部、司法部《社区矫正实施办法》实施以来社区矫正工作中发生的案例，能够反映社区矫正工作历史发展脉络，重点应反映党的十八大以来社区矫正机构依法履职、对社区服刑人员依法实施社区矫正有关情况。</w:t>
      </w:r>
    </w:p>
    <w:p>
      <w:pPr>
        <w:spacing w:line="600" w:lineRule="exact"/>
        <w:ind w:firstLine="640" w:firstLineChars="200"/>
        <w:rPr>
          <w:rFonts w:ascii="仿宋_GB2312" w:hAnsi="仿宋" w:eastAsia="仿宋_GB2312"/>
          <w:sz w:val="32"/>
          <w:szCs w:val="32"/>
        </w:rPr>
      </w:pPr>
      <w:r>
        <w:rPr>
          <w:rFonts w:hint="eastAsia" w:ascii="楷体_GB2312" w:hAnsi="仿宋" w:eastAsia="楷体_GB2312"/>
          <w:sz w:val="32"/>
          <w:szCs w:val="32"/>
        </w:rPr>
        <w:t>（四）选编的案例应当具有可公开性。</w:t>
      </w:r>
      <w:r>
        <w:rPr>
          <w:rFonts w:hint="eastAsia" w:ascii="仿宋_GB2312" w:hAnsi="仿宋" w:eastAsia="仿宋_GB2312"/>
          <w:sz w:val="32"/>
          <w:szCs w:val="32"/>
        </w:rPr>
        <w:t>选编案例应当遵守法律、法规有关案例公开的规定和相关保密制度。凡涉及国家秘密、个人隐私、商业秘密，可能违反未成年人保护相关法规，以及其他不宜在互联网公开的案例，未经技术处理、脱密、脱敏不得选编。社区服刑人员称谓均使用化名，社区服刑人员的居住地、户籍地均只写到县（市、区），不得写到街道具体住所。文中涉及社区服刑人员的父母等其他亲属时，使用“其父”、“其母”等适当的称谓，不得使用真实原名。如选编涉及重点案件的案例，必须向部社区矫正管理局请示，批准后方可选编。</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三、案例选编工作的组织</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（一）司法部社区矫正管理局成立案例选编工作小组，负责案例的审核和考评。组长由姜爱东局长担任，副组长由刘晔副局长担任，各处负责同志担任组员。刑罚执行处曹坤同志担任联络员。</w:t>
      </w:r>
    </w:p>
    <w:p>
      <w:pPr>
        <w:spacing w:line="600" w:lineRule="exact"/>
        <w:ind w:firstLine="640" w:firstLineChars="200"/>
        <w:rPr>
          <w:rFonts w:ascii="仿宋_GB2312" w:eastAsia="仿宋_GB2312" w:hAnsiTheme="minorHAnsi"/>
          <w:sz w:val="32"/>
          <w:szCs w:val="32"/>
        </w:rPr>
      </w:pPr>
      <w:r>
        <w:rPr>
          <w:rFonts w:hint="eastAsia" w:ascii="仿宋_GB2312" w:hAnsi="黑体" w:eastAsia="仿宋_GB2312"/>
          <w:sz w:val="32"/>
          <w:szCs w:val="32"/>
        </w:rPr>
        <w:t>（二）各省（区、市）</w:t>
      </w:r>
      <w:r>
        <w:rPr>
          <w:rFonts w:hint="eastAsia" w:ascii="仿宋_GB2312" w:eastAsia="仿宋_GB2312"/>
          <w:sz w:val="32"/>
          <w:szCs w:val="32"/>
        </w:rPr>
        <w:t>司法厅（局）社区矫正局（处）成立</w:t>
      </w:r>
      <w:r>
        <w:rPr>
          <w:rFonts w:hint="eastAsia" w:ascii="仿宋_GB2312" w:hAnsi="黑体" w:eastAsia="仿宋_GB2312"/>
          <w:sz w:val="32"/>
          <w:szCs w:val="32"/>
        </w:rPr>
        <w:t>案例选编工作小组</w:t>
      </w:r>
      <w:r>
        <w:rPr>
          <w:rFonts w:hint="eastAsia" w:ascii="仿宋_GB2312" w:eastAsia="仿宋_GB2312"/>
          <w:sz w:val="32"/>
          <w:szCs w:val="32"/>
        </w:rPr>
        <w:t>，负责</w:t>
      </w:r>
      <w:r>
        <w:rPr>
          <w:rFonts w:hint="eastAsia" w:ascii="仿宋_GB2312" w:hAnsi="黑体" w:eastAsia="仿宋_GB2312"/>
          <w:sz w:val="32"/>
          <w:szCs w:val="32"/>
        </w:rPr>
        <w:t>对本级社区矫正机构和下辖机构的相关案例进行筛选、审核，</w:t>
      </w:r>
      <w:r>
        <w:rPr>
          <w:rFonts w:hint="eastAsia" w:ascii="仿宋_GB2312" w:eastAsia="仿宋_GB2312"/>
          <w:sz w:val="32"/>
          <w:szCs w:val="32"/>
        </w:rPr>
        <w:t>并</w:t>
      </w:r>
      <w:r>
        <w:rPr>
          <w:rFonts w:hint="eastAsia" w:ascii="仿宋_GB2312" w:hAnsi="黑体" w:eastAsia="仿宋_GB2312"/>
          <w:sz w:val="32"/>
          <w:szCs w:val="32"/>
        </w:rPr>
        <w:t>及时做好案例层报工作。同时，</w:t>
      </w:r>
      <w:r>
        <w:rPr>
          <w:rFonts w:hint="eastAsia" w:ascii="仿宋_GB2312" w:eastAsia="仿宋_GB2312"/>
          <w:sz w:val="32"/>
          <w:szCs w:val="32"/>
        </w:rPr>
        <w:t>确定案例选编专门联络人员，实现专人负责案例选编工作。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hAnsi="黑体" w:eastAsia="仿宋_GB2312"/>
          <w:sz w:val="32"/>
          <w:szCs w:val="32"/>
        </w:rPr>
        <w:t>严格审核及报送程序。</w:t>
      </w:r>
      <w:r>
        <w:rPr>
          <w:rFonts w:hint="eastAsia" w:ascii="仿宋_GB2312" w:eastAsia="仿宋_GB2312"/>
          <w:sz w:val="32"/>
          <w:szCs w:val="32"/>
        </w:rPr>
        <w:t>案例选编实行严格审核及报送制度，逐级审核上报省（区、市）司法厅（局）社区矫正局（处），经本省（区、市）司法厅（局）</w:t>
      </w:r>
      <w:r>
        <w:rPr>
          <w:rFonts w:hint="eastAsia" w:ascii="仿宋_GB2312" w:hAnsi="黑体" w:eastAsia="仿宋_GB2312"/>
          <w:sz w:val="32"/>
          <w:szCs w:val="32"/>
        </w:rPr>
        <w:t>案例选编工作小组</w:t>
      </w:r>
      <w:r>
        <w:rPr>
          <w:rFonts w:hint="eastAsia" w:ascii="仿宋_GB2312" w:eastAsia="仿宋_GB2312"/>
          <w:sz w:val="32"/>
          <w:szCs w:val="32"/>
        </w:rPr>
        <w:t>审核后，报送部社区矫正管理局案例选编工作小组审定，选入社区矫正案例库。</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四、有关要求</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（一）严格按照统一的标准、电子文档格式、模板编写案例。每个案例字数一般在3000字左右。</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（二）案例选编实行署名制，供稿人、审稿人分别实名署名。</w:t>
      </w:r>
    </w:p>
    <w:p>
      <w:pPr>
        <w:spacing w:line="600" w:lineRule="exact"/>
        <w:ind w:firstLine="640" w:firstLineChars="200"/>
        <w:rPr>
          <w:rFonts w:ascii="仿宋_GB2312" w:hAnsi="仿宋" w:eastAsia="仿宋_GB2312"/>
          <w:sz w:val="32"/>
          <w:szCs w:val="32"/>
        </w:rPr>
      </w:pPr>
      <w:r>
        <w:rPr>
          <w:rFonts w:hint="eastAsia" w:ascii="仿宋_GB2312" w:hAnsi="黑体" w:eastAsia="仿宋_GB2312"/>
          <w:sz w:val="32"/>
          <w:szCs w:val="32"/>
        </w:rPr>
        <w:t>（三）案例的报送。各省（区、市）</w:t>
      </w:r>
      <w:r>
        <w:rPr>
          <w:rFonts w:hint="eastAsia" w:ascii="仿宋_GB2312" w:eastAsia="仿宋_GB2312"/>
          <w:sz w:val="32"/>
          <w:szCs w:val="32"/>
        </w:rPr>
        <w:t>司法厅（局）社区矫正局（处）</w:t>
      </w:r>
      <w:r>
        <w:rPr>
          <w:rFonts w:hint="eastAsia" w:ascii="仿宋_GB2312" w:hAnsi="仿宋" w:eastAsia="仿宋_GB2312"/>
          <w:sz w:val="32"/>
          <w:szCs w:val="32"/>
        </w:rPr>
        <w:t>可以通过电子邮件或光盘形式将选编的案例报送司法部社区矫正管理局。</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四）司法行政法律服务案例库将于2017年底前对外开放使用，请各地于2017年12月1日前，报送选编的第一批案例，对于选编范围内的五类案例，每类案例各省（区、市）报送数量不少于5个（第五类案例如不足5个，可根据工作实际报送）。之后，应及时按程序报送。</w:t>
      </w:r>
    </w:p>
    <w:p>
      <w:pPr>
        <w:spacing w:line="600" w:lineRule="exact"/>
        <w:ind w:firstLine="640" w:firstLineChars="200"/>
        <w:rPr>
          <w:rFonts w:ascii="仿宋_GB2312" w:hAnsi="黑体" w:eastAsia="仿宋_GB2312"/>
          <w:sz w:val="32"/>
          <w:szCs w:val="32"/>
        </w:rPr>
      </w:pPr>
    </w:p>
    <w:p>
      <w:pPr>
        <w:spacing w:line="600" w:lineRule="exact"/>
        <w:ind w:firstLine="640" w:firstLineChars="200"/>
        <w:rPr>
          <w:rFonts w:ascii="仿宋_GB2312" w:hAnsi="黑体" w:eastAsia="仿宋_GB2312"/>
          <w:sz w:val="32"/>
          <w:szCs w:val="32"/>
        </w:rPr>
      </w:pPr>
    </w:p>
    <w:p>
      <w:pPr>
        <w:spacing w:line="600" w:lineRule="exact"/>
        <w:ind w:firstLine="640" w:firstLineChars="200"/>
        <w:rPr>
          <w:rFonts w:ascii="仿宋_GB2312" w:hAnsi="黑体" w:eastAsia="仿宋_GB2312"/>
          <w:sz w:val="32"/>
          <w:szCs w:val="32"/>
        </w:rPr>
      </w:pPr>
    </w:p>
    <w:p>
      <w:pPr>
        <w:spacing w:line="600" w:lineRule="exact"/>
        <w:ind w:firstLine="640" w:firstLineChars="200"/>
        <w:rPr>
          <w:rFonts w:ascii="仿宋_GB2312" w:hAnsi="黑体" w:eastAsia="仿宋_GB2312"/>
          <w:sz w:val="32"/>
          <w:szCs w:val="32"/>
        </w:rPr>
      </w:pPr>
    </w:p>
    <w:p>
      <w:pPr>
        <w:spacing w:line="600" w:lineRule="exact"/>
        <w:ind w:firstLine="640" w:firstLineChars="200"/>
        <w:rPr>
          <w:rFonts w:ascii="仿宋_GB2312" w:hAnsi="黑体" w:eastAsia="仿宋_GB2312"/>
          <w:sz w:val="32"/>
          <w:szCs w:val="32"/>
        </w:rPr>
      </w:pPr>
    </w:p>
    <w:p>
      <w:pPr>
        <w:spacing w:line="600" w:lineRule="exact"/>
        <w:ind w:firstLine="640" w:firstLineChars="200"/>
        <w:rPr>
          <w:rFonts w:ascii="仿宋_GB2312" w:hAnsi="黑体" w:eastAsia="仿宋_GB2312"/>
          <w:sz w:val="32"/>
          <w:szCs w:val="32"/>
        </w:rPr>
      </w:pPr>
    </w:p>
    <w:p>
      <w:pPr>
        <w:spacing w:line="600" w:lineRule="exact"/>
        <w:ind w:firstLine="640" w:firstLineChars="200"/>
        <w:rPr>
          <w:rFonts w:ascii="仿宋_GB2312" w:hAnsi="黑体" w:eastAsia="仿宋_GB2312"/>
          <w:sz w:val="32"/>
          <w:szCs w:val="32"/>
        </w:rPr>
      </w:pPr>
    </w:p>
    <w:p>
      <w:pPr>
        <w:spacing w:line="600" w:lineRule="exact"/>
        <w:ind w:firstLine="640" w:firstLineChars="200"/>
        <w:rPr>
          <w:rFonts w:ascii="仿宋_GB2312" w:hAnsi="黑体" w:eastAsia="仿宋_GB2312"/>
          <w:sz w:val="32"/>
          <w:szCs w:val="32"/>
        </w:rPr>
      </w:pPr>
    </w:p>
    <w:p>
      <w:pPr>
        <w:spacing w:line="600" w:lineRule="exact"/>
        <w:ind w:firstLine="640" w:firstLineChars="200"/>
        <w:rPr>
          <w:rFonts w:ascii="仿宋_GB2312" w:hAnsi="黑体" w:eastAsia="仿宋_GB2312"/>
          <w:sz w:val="32"/>
          <w:szCs w:val="32"/>
        </w:rPr>
      </w:pPr>
    </w:p>
    <w:p>
      <w:pPr>
        <w:pStyle w:val="2"/>
        <w:keepNext/>
        <w:keepLines/>
        <w:pageBreakBefore w:val="0"/>
        <w:widowControl w:val="0"/>
        <w:kinsoku/>
        <w:wordWrap/>
        <w:overflowPunct/>
        <w:topLinePunct w:val="0"/>
        <w:autoSpaceDE/>
        <w:autoSpaceDN/>
        <w:bidi w:val="0"/>
        <w:adjustRightInd/>
        <w:snapToGrid w:val="0"/>
        <w:spacing w:before="340" w:after="33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rPr>
      </w:pPr>
      <w:bookmarkStart w:id="1" w:name="_Toc492316950"/>
      <w:r>
        <w:rPr>
          <w:rFonts w:hint="eastAsia" w:ascii="方正小标宋简体" w:hAnsi="方正小标宋简体" w:eastAsia="方正小标宋简体" w:cs="方正小标宋简体"/>
          <w:b w:val="0"/>
        </w:rPr>
        <w:t>司法行政（法律服务）案例库法治宣传教育案例选编实施办法</w:t>
      </w:r>
      <w:bookmarkEnd w:id="1"/>
    </w:p>
    <w:p>
      <w:pPr>
        <w:spacing w:line="580" w:lineRule="exact"/>
        <w:rPr>
          <w:rFonts w:ascii="仿宋" w:hAnsi="仿宋" w:eastAsia="仿宋"/>
          <w:sz w:val="32"/>
          <w:szCs w:val="32"/>
        </w:rPr>
      </w:pPr>
    </w:p>
    <w:p>
      <w:pPr>
        <w:spacing w:line="580" w:lineRule="exact"/>
        <w:rPr>
          <w:rFonts w:ascii="仿宋" w:hAnsi="仿宋" w:eastAsia="仿宋"/>
          <w:sz w:val="32"/>
          <w:szCs w:val="32"/>
        </w:rPr>
      </w:pPr>
      <w:r>
        <w:rPr>
          <w:rFonts w:hint="eastAsia" w:ascii="仿宋" w:hAnsi="仿宋" w:eastAsia="仿宋"/>
          <w:sz w:val="32"/>
          <w:szCs w:val="32"/>
        </w:rPr>
        <w:t xml:space="preserve">    根据司法部《关于建立司法行政（法律服务）案例库的方案》要求，结合法治宣传教育工作实际，</w:t>
      </w:r>
      <w:r>
        <w:rPr>
          <w:rFonts w:ascii="仿宋" w:hAnsi="仿宋" w:eastAsia="仿宋"/>
          <w:sz w:val="32"/>
          <w:szCs w:val="32"/>
        </w:rPr>
        <w:t>制定</w:t>
      </w:r>
      <w:r>
        <w:rPr>
          <w:rFonts w:hint="eastAsia" w:ascii="仿宋" w:hAnsi="仿宋" w:eastAsia="仿宋"/>
          <w:sz w:val="32"/>
          <w:szCs w:val="32"/>
        </w:rPr>
        <w:t>法治宣传教育案例选编实施办法，请遵照执行。</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一、案例选编范围及类型</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主要选编以案释法、</w:t>
      </w:r>
      <w:r>
        <w:rPr>
          <w:rFonts w:ascii="仿宋" w:hAnsi="仿宋" w:eastAsia="仿宋"/>
          <w:sz w:val="32"/>
          <w:szCs w:val="32"/>
        </w:rPr>
        <w:t>法治宣传教育活动</w:t>
      </w:r>
      <w:r>
        <w:rPr>
          <w:rFonts w:hint="eastAsia" w:ascii="仿宋" w:hAnsi="仿宋" w:eastAsia="仿宋"/>
          <w:sz w:val="32"/>
          <w:szCs w:val="32"/>
        </w:rPr>
        <w:t>、</w:t>
      </w:r>
      <w:r>
        <w:rPr>
          <w:rFonts w:ascii="仿宋" w:hAnsi="仿宋" w:eastAsia="仿宋"/>
          <w:sz w:val="32"/>
          <w:szCs w:val="32"/>
        </w:rPr>
        <w:t>法治创建三个方面</w:t>
      </w:r>
      <w:r>
        <w:rPr>
          <w:rFonts w:hint="eastAsia" w:ascii="仿宋" w:hAnsi="仿宋" w:eastAsia="仿宋"/>
          <w:sz w:val="32"/>
          <w:szCs w:val="32"/>
        </w:rPr>
        <w:t>的典型案例。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二、案例选编标准</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（一）典型性。</w:t>
      </w:r>
      <w:r>
        <w:rPr>
          <w:rFonts w:hint="eastAsia" w:ascii="仿宋" w:hAnsi="仿宋" w:eastAsia="仿宋"/>
          <w:sz w:val="32"/>
          <w:szCs w:val="32"/>
        </w:rPr>
        <w:t>以案释法案例要选取具有代表性，</w:t>
      </w:r>
      <w:r>
        <w:rPr>
          <w:rFonts w:ascii="仿宋" w:hAnsi="仿宋" w:eastAsia="仿宋"/>
          <w:sz w:val="32"/>
          <w:szCs w:val="32"/>
        </w:rPr>
        <w:t>与人民生产生活密切相关的典型案例</w:t>
      </w:r>
      <w:r>
        <w:rPr>
          <w:rFonts w:hint="eastAsia" w:ascii="仿宋" w:hAnsi="仿宋" w:eastAsia="仿宋"/>
          <w:sz w:val="32"/>
          <w:szCs w:val="32"/>
        </w:rPr>
        <w:t>，</w:t>
      </w:r>
      <w:r>
        <w:rPr>
          <w:rFonts w:ascii="仿宋" w:hAnsi="仿宋" w:eastAsia="仿宋"/>
          <w:sz w:val="32"/>
          <w:szCs w:val="32"/>
        </w:rPr>
        <w:t>对于社会公众认识法律</w:t>
      </w:r>
      <w:r>
        <w:rPr>
          <w:rFonts w:hint="eastAsia" w:ascii="仿宋" w:hAnsi="仿宋" w:eastAsia="仿宋"/>
          <w:sz w:val="32"/>
          <w:szCs w:val="32"/>
        </w:rPr>
        <w:t>、</w:t>
      </w:r>
      <w:r>
        <w:rPr>
          <w:rFonts w:ascii="仿宋" w:hAnsi="仿宋" w:eastAsia="仿宋"/>
          <w:sz w:val="32"/>
          <w:szCs w:val="32"/>
        </w:rPr>
        <w:t>了解法律具有借鉴意义</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（二）指导性。</w:t>
      </w:r>
      <w:r>
        <w:rPr>
          <w:rFonts w:hint="eastAsia" w:ascii="仿宋" w:hAnsi="仿宋" w:eastAsia="仿宋"/>
          <w:sz w:val="32"/>
          <w:szCs w:val="32"/>
        </w:rPr>
        <w:t>法治宣传教育活动、</w:t>
      </w:r>
      <w:r>
        <w:rPr>
          <w:rFonts w:ascii="仿宋" w:hAnsi="仿宋" w:eastAsia="仿宋"/>
          <w:sz w:val="32"/>
          <w:szCs w:val="32"/>
        </w:rPr>
        <w:t>法治创建案例要</w:t>
      </w:r>
      <w:r>
        <w:rPr>
          <w:rFonts w:hint="eastAsia" w:ascii="仿宋" w:hAnsi="仿宋" w:eastAsia="仿宋"/>
          <w:sz w:val="32"/>
          <w:szCs w:val="32"/>
        </w:rPr>
        <w:t>能反映法治宣传教育工作的具体特点和工作方式方法创新，具有可复制可推广的价值，</w:t>
      </w:r>
      <w:r>
        <w:rPr>
          <w:rFonts w:ascii="仿宋" w:hAnsi="仿宋" w:eastAsia="仿宋"/>
          <w:sz w:val="32"/>
          <w:szCs w:val="32"/>
        </w:rPr>
        <w:t>对于推动普法依法治理工作具有指导意义</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（三）公开性。</w:t>
      </w:r>
      <w:r>
        <w:rPr>
          <w:rFonts w:hint="eastAsia" w:ascii="仿宋" w:hAnsi="仿宋" w:eastAsia="仿宋"/>
          <w:sz w:val="32"/>
          <w:szCs w:val="32"/>
        </w:rPr>
        <w:t>案例不涉密或经过脱密处理，不得违反相关法律法规和相关规定。</w:t>
      </w:r>
    </w:p>
    <w:p>
      <w:pPr>
        <w:tabs>
          <w:tab w:val="left" w:pos="2460"/>
        </w:tabs>
        <w:spacing w:line="580" w:lineRule="exact"/>
        <w:ind w:firstLine="640" w:firstLineChars="200"/>
        <w:rPr>
          <w:rFonts w:ascii="仿宋" w:hAnsi="仿宋" w:eastAsia="仿宋"/>
          <w:sz w:val="32"/>
          <w:szCs w:val="32"/>
        </w:rPr>
      </w:pPr>
      <w:r>
        <w:rPr>
          <w:rFonts w:hint="eastAsia" w:ascii="楷体" w:hAnsi="楷体" w:eastAsia="楷体"/>
          <w:sz w:val="32"/>
          <w:szCs w:val="32"/>
        </w:rPr>
        <w:t>（四）统一格式。</w:t>
      </w:r>
      <w:r>
        <w:rPr>
          <w:rFonts w:hint="eastAsia" w:ascii="仿宋" w:hAnsi="仿宋" w:eastAsia="仿宋"/>
          <w:sz w:val="32"/>
          <w:szCs w:val="32"/>
        </w:rPr>
        <w:t>案例符合法治宣传教育案例选编标准及格式要求。</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三、案例</w:t>
      </w:r>
      <w:r>
        <w:rPr>
          <w:rFonts w:ascii="黑体" w:hAnsi="黑体" w:eastAsia="黑体"/>
          <w:sz w:val="32"/>
          <w:szCs w:val="32"/>
        </w:rPr>
        <w:t>选编内容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以案释法案例是运用已办理完结并可以公开的执法、</w:t>
      </w:r>
      <w:r>
        <w:rPr>
          <w:rFonts w:ascii="仿宋" w:hAnsi="仿宋" w:eastAsia="仿宋"/>
          <w:sz w:val="32"/>
          <w:szCs w:val="32"/>
        </w:rPr>
        <w:t>司法</w:t>
      </w:r>
      <w:r>
        <w:rPr>
          <w:rFonts w:hint="eastAsia" w:ascii="仿宋" w:hAnsi="仿宋" w:eastAsia="仿宋"/>
          <w:sz w:val="32"/>
          <w:szCs w:val="32"/>
        </w:rPr>
        <w:t>、</w:t>
      </w:r>
      <w:r>
        <w:rPr>
          <w:rFonts w:ascii="仿宋" w:hAnsi="仿宋" w:eastAsia="仿宋"/>
          <w:sz w:val="32"/>
          <w:szCs w:val="32"/>
        </w:rPr>
        <w:t>法律服务等社会关注的典型案例</w:t>
      </w:r>
      <w:r>
        <w:rPr>
          <w:rFonts w:hint="eastAsia" w:ascii="仿宋" w:hAnsi="仿宋" w:eastAsia="仿宋"/>
          <w:sz w:val="32"/>
          <w:szCs w:val="32"/>
        </w:rPr>
        <w:t>，结合案情</w:t>
      </w:r>
      <w:r>
        <w:rPr>
          <w:rFonts w:ascii="仿宋" w:hAnsi="仿宋" w:eastAsia="仿宋"/>
          <w:sz w:val="32"/>
          <w:szCs w:val="32"/>
        </w:rPr>
        <w:t>阐述案件的调查与处理</w:t>
      </w:r>
      <w:r>
        <w:rPr>
          <w:rFonts w:hint="eastAsia" w:ascii="仿宋" w:hAnsi="仿宋" w:eastAsia="仿宋"/>
          <w:sz w:val="32"/>
          <w:szCs w:val="32"/>
        </w:rPr>
        <w:t>情况，</w:t>
      </w:r>
      <w:r>
        <w:rPr>
          <w:rFonts w:ascii="仿宋" w:hAnsi="仿宋" w:eastAsia="仿宋"/>
          <w:sz w:val="32"/>
          <w:szCs w:val="32"/>
        </w:rPr>
        <w:t>分析案件</w:t>
      </w:r>
      <w:r>
        <w:rPr>
          <w:rFonts w:hint="eastAsia" w:ascii="仿宋" w:hAnsi="仿宋" w:eastAsia="仿宋"/>
          <w:sz w:val="32"/>
          <w:szCs w:val="32"/>
        </w:rPr>
        <w:t>所涉</w:t>
      </w:r>
      <w:r>
        <w:rPr>
          <w:rFonts w:ascii="仿宋" w:hAnsi="仿宋" w:eastAsia="仿宋"/>
          <w:sz w:val="32"/>
          <w:szCs w:val="32"/>
        </w:rPr>
        <w:t>法律问题及典型意义</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法治宣传教育活动案例是围绕法治宣传教育工作重点，如</w:t>
      </w:r>
      <w:r>
        <w:rPr>
          <w:rFonts w:ascii="仿宋" w:hAnsi="仿宋" w:eastAsia="仿宋"/>
          <w:sz w:val="32"/>
          <w:szCs w:val="32"/>
        </w:rPr>
        <w:t>开展领导干部</w:t>
      </w:r>
      <w:r>
        <w:rPr>
          <w:rFonts w:hint="eastAsia" w:ascii="仿宋" w:hAnsi="仿宋" w:eastAsia="仿宋"/>
          <w:sz w:val="32"/>
          <w:szCs w:val="32"/>
        </w:rPr>
        <w:t>、</w:t>
      </w:r>
      <w:r>
        <w:rPr>
          <w:rFonts w:ascii="仿宋" w:hAnsi="仿宋" w:eastAsia="仿宋"/>
          <w:sz w:val="32"/>
          <w:szCs w:val="32"/>
        </w:rPr>
        <w:t>青少年等重点对象学法用法</w:t>
      </w:r>
      <w:r>
        <w:rPr>
          <w:rFonts w:hint="eastAsia" w:ascii="仿宋" w:hAnsi="仿宋" w:eastAsia="仿宋"/>
          <w:sz w:val="32"/>
          <w:szCs w:val="32"/>
        </w:rPr>
        <w:t>、</w:t>
      </w:r>
      <w:r>
        <w:rPr>
          <w:rFonts w:ascii="仿宋" w:hAnsi="仿宋" w:eastAsia="仿宋"/>
          <w:sz w:val="32"/>
          <w:szCs w:val="32"/>
        </w:rPr>
        <w:t>法治宣传主题活动</w:t>
      </w:r>
      <w:r>
        <w:rPr>
          <w:rFonts w:hint="eastAsia" w:ascii="仿宋" w:hAnsi="仿宋" w:eastAsia="仿宋"/>
          <w:sz w:val="32"/>
          <w:szCs w:val="32"/>
        </w:rPr>
        <w:t>、</w:t>
      </w:r>
      <w:r>
        <w:rPr>
          <w:rFonts w:ascii="仿宋" w:hAnsi="仿宋" w:eastAsia="仿宋"/>
          <w:sz w:val="32"/>
          <w:szCs w:val="32"/>
        </w:rPr>
        <w:t>法治文化建设等</w:t>
      </w:r>
      <w:r>
        <w:rPr>
          <w:rFonts w:hint="eastAsia" w:ascii="仿宋" w:hAnsi="仿宋" w:eastAsia="仿宋"/>
          <w:sz w:val="32"/>
          <w:szCs w:val="32"/>
        </w:rPr>
        <w:t>，</w:t>
      </w:r>
      <w:r>
        <w:rPr>
          <w:rFonts w:ascii="仿宋" w:hAnsi="仿宋" w:eastAsia="仿宋"/>
          <w:sz w:val="32"/>
          <w:szCs w:val="32"/>
        </w:rPr>
        <w:t>介绍活动</w:t>
      </w:r>
      <w:r>
        <w:rPr>
          <w:rFonts w:hint="eastAsia" w:ascii="仿宋" w:hAnsi="仿宋" w:eastAsia="仿宋"/>
          <w:sz w:val="32"/>
          <w:szCs w:val="32"/>
        </w:rPr>
        <w:t>概况、</w:t>
      </w:r>
      <w:r>
        <w:rPr>
          <w:rFonts w:ascii="仿宋" w:hAnsi="仿宋" w:eastAsia="仿宋"/>
          <w:sz w:val="32"/>
          <w:szCs w:val="32"/>
        </w:rPr>
        <w:t>重点宣传内容</w:t>
      </w:r>
      <w:r>
        <w:rPr>
          <w:rFonts w:hint="eastAsia" w:ascii="仿宋" w:hAnsi="仿宋" w:eastAsia="仿宋"/>
          <w:sz w:val="32"/>
          <w:szCs w:val="32"/>
        </w:rPr>
        <w:t>、活动特点和</w:t>
      </w:r>
      <w:r>
        <w:rPr>
          <w:rFonts w:ascii="仿宋" w:hAnsi="仿宋" w:eastAsia="仿宋"/>
          <w:sz w:val="32"/>
          <w:szCs w:val="32"/>
        </w:rPr>
        <w:t>效果</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法治创建案例是围绕开展法治城市、</w:t>
      </w:r>
      <w:r>
        <w:rPr>
          <w:rFonts w:ascii="仿宋" w:hAnsi="仿宋" w:eastAsia="仿宋"/>
          <w:sz w:val="32"/>
          <w:szCs w:val="32"/>
        </w:rPr>
        <w:t>法治县</w:t>
      </w:r>
      <w:r>
        <w:rPr>
          <w:rFonts w:hint="eastAsia" w:ascii="仿宋" w:hAnsi="仿宋" w:eastAsia="仿宋"/>
          <w:sz w:val="32"/>
          <w:szCs w:val="32"/>
        </w:rPr>
        <w:t>（市、区）、</w:t>
      </w:r>
      <w:r>
        <w:rPr>
          <w:rFonts w:ascii="仿宋" w:hAnsi="仿宋" w:eastAsia="仿宋"/>
          <w:sz w:val="32"/>
          <w:szCs w:val="32"/>
        </w:rPr>
        <w:t>民主法治示范村</w:t>
      </w:r>
      <w:r>
        <w:rPr>
          <w:rFonts w:hint="eastAsia" w:ascii="仿宋" w:hAnsi="仿宋" w:eastAsia="仿宋"/>
          <w:sz w:val="32"/>
          <w:szCs w:val="32"/>
        </w:rPr>
        <w:t>（社区）、</w:t>
      </w:r>
      <w:r>
        <w:rPr>
          <w:rFonts w:ascii="仿宋" w:hAnsi="仿宋" w:eastAsia="仿宋"/>
          <w:sz w:val="32"/>
          <w:szCs w:val="32"/>
        </w:rPr>
        <w:t>部门行业法治创建等活动开展情况</w:t>
      </w:r>
      <w:r>
        <w:rPr>
          <w:rFonts w:hint="eastAsia" w:ascii="仿宋" w:hAnsi="仿宋" w:eastAsia="仿宋"/>
          <w:sz w:val="32"/>
          <w:szCs w:val="32"/>
        </w:rPr>
        <w:t>，介绍创建工作的基本情况，阐述具体任务措施，</w:t>
      </w:r>
      <w:r>
        <w:rPr>
          <w:rFonts w:ascii="仿宋" w:hAnsi="仿宋" w:eastAsia="仿宋"/>
          <w:sz w:val="32"/>
          <w:szCs w:val="32"/>
        </w:rPr>
        <w:t>分析创建工作的特点和效果</w:t>
      </w:r>
      <w:r>
        <w:rPr>
          <w:rFonts w:hint="eastAsia" w:ascii="仿宋" w:hAnsi="仿宋" w:eastAsia="仿宋"/>
          <w:sz w:val="32"/>
          <w:szCs w:val="32"/>
        </w:rPr>
        <w:t>。除特别情况外，每个</w:t>
      </w:r>
      <w:r>
        <w:rPr>
          <w:rFonts w:ascii="仿宋" w:hAnsi="仿宋" w:eastAsia="仿宋"/>
          <w:sz w:val="32"/>
          <w:szCs w:val="32"/>
        </w:rPr>
        <w:t>案例字数在</w:t>
      </w:r>
      <w:r>
        <w:rPr>
          <w:rFonts w:hint="eastAsia" w:ascii="仿宋" w:hAnsi="仿宋" w:eastAsia="仿宋"/>
          <w:sz w:val="32"/>
          <w:szCs w:val="32"/>
        </w:rPr>
        <w:t>3000字以内。</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四、组织实施</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（一）组织领导。</w:t>
      </w:r>
      <w:r>
        <w:rPr>
          <w:rFonts w:hint="eastAsia" w:ascii="仿宋" w:hAnsi="仿宋" w:eastAsia="仿宋"/>
          <w:sz w:val="32"/>
          <w:szCs w:val="32"/>
        </w:rPr>
        <w:t>各省（区、市）司法厅（局）分管领导要高度重视，</w:t>
      </w:r>
      <w:r>
        <w:rPr>
          <w:rFonts w:ascii="仿宋" w:hAnsi="仿宋" w:eastAsia="仿宋"/>
          <w:sz w:val="32"/>
          <w:szCs w:val="32"/>
        </w:rPr>
        <w:t>牵头负责抓好案例选编工作</w:t>
      </w:r>
      <w:r>
        <w:rPr>
          <w:rFonts w:hint="eastAsia" w:ascii="仿宋" w:hAnsi="仿宋" w:eastAsia="仿宋"/>
          <w:sz w:val="32"/>
          <w:szCs w:val="32"/>
        </w:rPr>
        <w:t>。普法依法治理部门要把案例选编作为推进法治宣传教育工作创新发展的重要抓手，</w:t>
      </w:r>
      <w:r>
        <w:rPr>
          <w:rFonts w:ascii="仿宋" w:hAnsi="仿宋" w:eastAsia="仿宋"/>
          <w:sz w:val="32"/>
          <w:szCs w:val="32"/>
        </w:rPr>
        <w:t>承担案例选编日常工作</w:t>
      </w:r>
      <w:r>
        <w:rPr>
          <w:rFonts w:hint="eastAsia" w:ascii="仿宋" w:hAnsi="仿宋" w:eastAsia="仿宋"/>
          <w:sz w:val="32"/>
          <w:szCs w:val="32"/>
        </w:rPr>
        <w:t>，并指定1-2名业务能力强、</w:t>
      </w:r>
      <w:r>
        <w:rPr>
          <w:rFonts w:ascii="仿宋" w:hAnsi="仿宋" w:eastAsia="仿宋"/>
          <w:sz w:val="32"/>
          <w:szCs w:val="32"/>
        </w:rPr>
        <w:t>熟悉法律法规的</w:t>
      </w:r>
      <w:r>
        <w:rPr>
          <w:rFonts w:hint="eastAsia" w:ascii="仿宋" w:hAnsi="仿宋" w:eastAsia="仿宋"/>
          <w:sz w:val="32"/>
          <w:szCs w:val="32"/>
        </w:rPr>
        <w:t xml:space="preserve">联络员负责案例选编工作。联络员名单于9月25日前报司法部法制宣传司地方处。 </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（二）初核。</w:t>
      </w:r>
      <w:r>
        <w:rPr>
          <w:rFonts w:hint="eastAsia" w:ascii="仿宋" w:hAnsi="仿宋" w:eastAsia="仿宋"/>
          <w:sz w:val="32"/>
          <w:szCs w:val="32"/>
        </w:rPr>
        <w:t>各省（区、市）普法依法治理部门负责对本省（区、市）报送的案例进行筛选、审核。</w:t>
      </w:r>
      <w:r>
        <w:rPr>
          <w:rFonts w:ascii="仿宋" w:hAnsi="仿宋" w:eastAsia="仿宋"/>
          <w:sz w:val="32"/>
          <w:szCs w:val="32"/>
        </w:rPr>
        <w:t>重点报送以案释法典型案例</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（三）报送。</w:t>
      </w:r>
      <w:r>
        <w:rPr>
          <w:rFonts w:hint="eastAsia" w:ascii="仿宋" w:hAnsi="仿宋" w:eastAsia="仿宋"/>
          <w:sz w:val="32"/>
          <w:szCs w:val="32"/>
        </w:rPr>
        <w:t>各省（区、市）普法依法治理部门于每月25日前，将案例的电子文档报送司法部法制宣传司。</w:t>
      </w:r>
    </w:p>
    <w:p>
      <w:pPr>
        <w:spacing w:line="580" w:lineRule="exact"/>
        <w:ind w:firstLine="640" w:firstLineChars="200"/>
        <w:rPr>
          <w:rFonts w:ascii="仿宋" w:hAnsi="仿宋" w:eastAsia="仿宋"/>
          <w:sz w:val="32"/>
          <w:szCs w:val="32"/>
        </w:rPr>
      </w:pPr>
      <w:r>
        <w:rPr>
          <w:rFonts w:hint="eastAsia" w:ascii="楷体" w:hAnsi="楷体" w:eastAsia="楷体"/>
          <w:sz w:val="32"/>
          <w:szCs w:val="32"/>
        </w:rPr>
        <w:t>（四）复核。</w:t>
      </w:r>
      <w:r>
        <w:rPr>
          <w:rFonts w:hint="eastAsia" w:ascii="仿宋" w:hAnsi="仿宋" w:eastAsia="仿宋"/>
          <w:sz w:val="32"/>
          <w:szCs w:val="32"/>
        </w:rPr>
        <w:t>司法部法制宣传司对各省（区、市）报送的案例进行审核后，报司法部研究室复核，符合条件的，由司法部信息中心编入司法行政案例库。</w:t>
      </w:r>
    </w:p>
    <w:p>
      <w:pPr>
        <w:pStyle w:val="2"/>
        <w:keepNext/>
        <w:keepLines/>
        <w:pageBreakBefore w:val="0"/>
        <w:widowControl w:val="0"/>
        <w:kinsoku/>
        <w:wordWrap/>
        <w:overflowPunct/>
        <w:topLinePunct w:val="0"/>
        <w:autoSpaceDE/>
        <w:autoSpaceDN/>
        <w:bidi w:val="0"/>
        <w:adjustRightInd/>
        <w:snapToGrid w:val="0"/>
        <w:spacing w:before="340" w:after="330" w:line="240" w:lineRule="auto"/>
        <w:ind w:left="0" w:leftChars="0" w:right="0" w:rightChars="0" w:firstLine="0" w:firstLineChars="0"/>
        <w:jc w:val="center"/>
        <w:textAlignment w:val="auto"/>
        <w:outlineLvl w:val="0"/>
        <w:rPr>
          <w:rFonts w:asciiTheme="minorEastAsia" w:hAnsiTheme="minorEastAsia"/>
          <w:b/>
          <w:sz w:val="36"/>
          <w:szCs w:val="36"/>
        </w:rPr>
      </w:pPr>
      <w:bookmarkStart w:id="2" w:name="_Toc492316951"/>
      <w:r>
        <w:rPr>
          <w:rFonts w:hint="eastAsia" w:ascii="方正小标宋简体" w:hAnsi="方正小标宋简体" w:eastAsia="方正小标宋简体" w:cs="方正小标宋简体"/>
          <w:b w:val="0"/>
        </w:rPr>
        <w:t>司法行政（法律服务）案例库律师行业案例选编实施办法</w:t>
      </w:r>
      <w:bookmarkEnd w:id="2"/>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根据《司法部关于建立司法行政（法律服务）案例库的方案》要求，结合律师行业实际，制定本办法，请遵照执行。</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一、案例选编范围和标准</w:t>
      </w:r>
    </w:p>
    <w:p>
      <w:pPr>
        <w:spacing w:line="620" w:lineRule="exact"/>
        <w:ind w:firstLine="640" w:firstLineChars="200"/>
        <w:rPr>
          <w:rFonts w:ascii="楷体" w:hAnsi="楷体" w:eastAsia="楷体" w:cs="宋体"/>
          <w:b/>
          <w:kern w:val="0"/>
          <w:sz w:val="32"/>
          <w:szCs w:val="32"/>
        </w:rPr>
      </w:pPr>
      <w:r>
        <w:rPr>
          <w:rFonts w:hint="eastAsia" w:ascii="楷体" w:hAnsi="楷体" w:eastAsia="楷体" w:cs="宋体"/>
          <w:b w:val="0"/>
          <w:bCs/>
          <w:kern w:val="0"/>
          <w:sz w:val="32"/>
          <w:szCs w:val="32"/>
        </w:rPr>
        <w:t>（一）选编范围。</w:t>
      </w:r>
      <w:r>
        <w:rPr>
          <w:rFonts w:hint="eastAsia" w:ascii="仿宋_GB2312" w:hAnsi="宋体" w:eastAsia="仿宋_GB2312" w:cs="宋体"/>
          <w:kern w:val="0"/>
          <w:sz w:val="32"/>
          <w:szCs w:val="32"/>
        </w:rPr>
        <w:t>律师代理、辩护的成功诉讼案例；涉及政府法律顾问、公司法律咨询、并购、上市、反垄断、涉外案件等成功的非诉讼案例；维权和惩戒案例。</w:t>
      </w:r>
    </w:p>
    <w:p>
      <w:pPr>
        <w:spacing w:line="620" w:lineRule="exact"/>
        <w:ind w:firstLine="640" w:firstLineChars="200"/>
        <w:rPr>
          <w:rFonts w:ascii="楷体" w:hAnsi="楷体" w:eastAsia="楷体" w:cs="宋体"/>
          <w:b/>
          <w:kern w:val="0"/>
          <w:sz w:val="32"/>
          <w:szCs w:val="32"/>
        </w:rPr>
      </w:pPr>
      <w:r>
        <w:rPr>
          <w:rFonts w:hint="eastAsia" w:ascii="楷体" w:hAnsi="楷体" w:eastAsia="楷体" w:cs="宋体"/>
          <w:kern w:val="0"/>
          <w:sz w:val="32"/>
          <w:szCs w:val="32"/>
        </w:rPr>
        <w:t>（二）选编标准。</w:t>
      </w:r>
      <w:r>
        <w:rPr>
          <w:rFonts w:hint="eastAsia" w:ascii="仿宋_GB2312" w:hAnsi="仿宋_GB2312" w:eastAsia="仿宋_GB2312" w:cs="仿宋_GB2312"/>
          <w:kern w:val="0"/>
          <w:sz w:val="32"/>
          <w:szCs w:val="32"/>
        </w:rPr>
        <w:t>诉讼、非诉讼</w:t>
      </w:r>
      <w:r>
        <w:rPr>
          <w:rFonts w:hint="eastAsia" w:ascii="仿宋_GB2312" w:hAnsi="仿宋_GB2312" w:eastAsia="仿宋_GB2312" w:cs="仿宋_GB2312"/>
          <w:sz w:val="32"/>
          <w:szCs w:val="32"/>
        </w:rPr>
        <w:t>案例能够充分代表律师在本业务领域中的服务能力和水平，彰显律师在服务经济社会发展和全面依法治国中的重要作用。维权案例要充分彰显司法行政机关、律师协会在依法维护律师执业权利方面所做的工作和取得的成效。</w:t>
      </w:r>
      <w:r>
        <w:rPr>
          <w:rFonts w:hint="eastAsia" w:ascii="仿宋_GB2312" w:hAnsi="仿宋_GB2312" w:eastAsia="仿宋_GB2312" w:cs="仿宋_GB2312"/>
          <w:kern w:val="0"/>
          <w:sz w:val="32"/>
          <w:szCs w:val="32"/>
        </w:rPr>
        <w:t>惩戒案例要</w:t>
      </w:r>
      <w:r>
        <w:rPr>
          <w:rFonts w:hint="eastAsia" w:ascii="仿宋_GB2312" w:hAnsi="仿宋_GB2312" w:eastAsia="仿宋_GB2312" w:cs="仿宋_GB2312"/>
          <w:sz w:val="32"/>
          <w:szCs w:val="32"/>
        </w:rPr>
        <w:t>对促进律师依法依规执业具有一定的警示教育作用。</w:t>
      </w:r>
    </w:p>
    <w:p>
      <w:pPr>
        <w:adjustRightInd w:val="0"/>
        <w:snapToGrid w:val="0"/>
        <w:spacing w:line="600" w:lineRule="exact"/>
        <w:ind w:firstLine="640" w:firstLineChars="200"/>
        <w:rPr>
          <w:rFonts w:ascii="仿宋_GB2312" w:hAnsi="宋体" w:eastAsia="仿宋_GB2312" w:cs="宋体"/>
          <w:kern w:val="0"/>
          <w:sz w:val="32"/>
          <w:szCs w:val="32"/>
        </w:rPr>
      </w:pPr>
      <w:r>
        <w:rPr>
          <w:rFonts w:hint="eastAsia" w:ascii="黑体" w:hAnsi="黑体" w:eastAsia="黑体"/>
          <w:sz w:val="32"/>
          <w:szCs w:val="32"/>
        </w:rPr>
        <w:t>二、案例选编原则</w:t>
      </w:r>
    </w:p>
    <w:p>
      <w:pPr>
        <w:adjustRightInd w:val="0"/>
        <w:snapToGrid w:val="0"/>
        <w:spacing w:line="600" w:lineRule="exact"/>
        <w:ind w:firstLine="640" w:firstLineChars="200"/>
        <w:rPr>
          <w:rFonts w:ascii="仿宋" w:hAnsi="仿宋" w:eastAsia="仿宋"/>
          <w:sz w:val="32"/>
          <w:szCs w:val="32"/>
        </w:rPr>
      </w:pPr>
      <w:r>
        <w:rPr>
          <w:rFonts w:hint="eastAsia" w:ascii="楷体" w:hAnsi="楷体" w:eastAsia="楷体" w:cs="宋体"/>
          <w:kern w:val="0"/>
          <w:sz w:val="32"/>
          <w:szCs w:val="32"/>
        </w:rPr>
        <w:t>（一）依法原则。</w:t>
      </w:r>
      <w:r>
        <w:rPr>
          <w:rFonts w:hint="eastAsia" w:ascii="仿宋" w:hAnsi="仿宋" w:eastAsia="仿宋"/>
          <w:sz w:val="32"/>
          <w:szCs w:val="32"/>
        </w:rPr>
        <w:t>选编案例要遵守法律、法规规定，符合案例公开要求，不得涉及国家秘密、商业秘密、个人隐私和其他不宜在互联网公开的内容。</w:t>
      </w:r>
    </w:p>
    <w:p>
      <w:pPr>
        <w:adjustRightInd w:val="0"/>
        <w:snapToGrid w:val="0"/>
        <w:spacing w:line="600" w:lineRule="exact"/>
        <w:ind w:firstLine="640" w:firstLineChars="200"/>
        <w:rPr>
          <w:rFonts w:ascii="仿宋" w:hAnsi="仿宋" w:eastAsia="仿宋"/>
          <w:sz w:val="32"/>
          <w:szCs w:val="32"/>
        </w:rPr>
      </w:pPr>
      <w:r>
        <w:rPr>
          <w:rFonts w:hint="eastAsia" w:ascii="楷体" w:hAnsi="楷体" w:eastAsia="楷体" w:cs="宋体"/>
          <w:kern w:val="0"/>
          <w:sz w:val="32"/>
          <w:szCs w:val="32"/>
        </w:rPr>
        <w:t>（二）典型原则。</w:t>
      </w:r>
      <w:r>
        <w:rPr>
          <w:rFonts w:hint="eastAsia" w:ascii="仿宋" w:hAnsi="仿宋" w:eastAsia="仿宋"/>
          <w:sz w:val="32"/>
          <w:szCs w:val="32"/>
        </w:rPr>
        <w:t>选编案例能够从正反两个方面反映律师工作发展中取得的成绩和存在的问题，对于开展类似工作具有普遍指导意义，有利于总结经验、教训，有利于促进律师制度改革发展。</w:t>
      </w:r>
    </w:p>
    <w:p>
      <w:pPr>
        <w:adjustRightInd w:val="0"/>
        <w:snapToGrid w:val="0"/>
        <w:spacing w:line="600" w:lineRule="exact"/>
        <w:ind w:firstLine="640" w:firstLineChars="200"/>
        <w:rPr>
          <w:rFonts w:ascii="仿宋" w:hAnsi="仿宋" w:eastAsia="仿宋"/>
          <w:sz w:val="32"/>
          <w:szCs w:val="32"/>
        </w:rPr>
      </w:pPr>
      <w:r>
        <w:rPr>
          <w:rFonts w:hint="eastAsia" w:ascii="楷体" w:hAnsi="楷体" w:eastAsia="楷体" w:cs="宋体"/>
          <w:kern w:val="0"/>
          <w:sz w:val="32"/>
          <w:szCs w:val="32"/>
        </w:rPr>
        <w:t>（三）规范原则。</w:t>
      </w:r>
      <w:r>
        <w:rPr>
          <w:rFonts w:hint="eastAsia" w:ascii="仿宋" w:hAnsi="仿宋" w:eastAsia="仿宋"/>
          <w:sz w:val="32"/>
          <w:szCs w:val="32"/>
        </w:rPr>
        <w:t>选编的案例文书要遵循统一格式，符合规范化、信息化要求。</w:t>
      </w:r>
    </w:p>
    <w:p>
      <w:pPr>
        <w:adjustRightInd w:val="0"/>
        <w:snapToGrid w:val="0"/>
        <w:spacing w:line="600" w:lineRule="exact"/>
        <w:ind w:firstLine="640" w:firstLineChars="200"/>
        <w:rPr>
          <w:rFonts w:ascii="仿宋" w:hAnsi="仿宋" w:eastAsia="仿宋"/>
          <w:sz w:val="32"/>
          <w:szCs w:val="32"/>
        </w:rPr>
      </w:pPr>
      <w:r>
        <w:rPr>
          <w:rFonts w:hint="eastAsia" w:ascii="楷体" w:hAnsi="楷体" w:eastAsia="楷体" w:cs="宋体"/>
          <w:kern w:val="0"/>
          <w:sz w:val="32"/>
          <w:szCs w:val="32"/>
        </w:rPr>
        <w:t>（四）客观原则。</w:t>
      </w:r>
      <w:r>
        <w:rPr>
          <w:rFonts w:hint="eastAsia" w:ascii="仿宋" w:hAnsi="仿宋" w:eastAsia="仿宋"/>
          <w:sz w:val="32"/>
          <w:szCs w:val="32"/>
        </w:rPr>
        <w:t>选编案例应当尊重事实，真实反映律师行业发展实际。</w:t>
      </w:r>
    </w:p>
    <w:p>
      <w:pPr>
        <w:adjustRightInd w:val="0"/>
        <w:snapToGrid w:val="0"/>
        <w:spacing w:line="600" w:lineRule="exact"/>
        <w:ind w:firstLine="640" w:firstLineChars="200"/>
        <w:rPr>
          <w:rFonts w:ascii="仿宋" w:hAnsi="仿宋" w:eastAsia="仿宋"/>
          <w:sz w:val="32"/>
          <w:szCs w:val="32"/>
        </w:rPr>
      </w:pPr>
      <w:r>
        <w:rPr>
          <w:rFonts w:hint="eastAsia" w:ascii="楷体" w:hAnsi="楷体" w:eastAsia="楷体" w:cs="宋体"/>
          <w:kern w:val="0"/>
          <w:sz w:val="32"/>
          <w:szCs w:val="32"/>
        </w:rPr>
        <w:t>（五）全面及时原则。</w:t>
      </w:r>
      <w:r>
        <w:rPr>
          <w:rFonts w:hint="eastAsia" w:ascii="仿宋" w:hAnsi="仿宋" w:eastAsia="仿宋"/>
          <w:sz w:val="32"/>
          <w:szCs w:val="32"/>
        </w:rPr>
        <w:t>选编案例既能反映出司法行政工作的历史发展脉络，又能重点反映党的十八大以来国家法治建设的新动向和律师工作新面貌。</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三、案例选编内容</w:t>
      </w:r>
    </w:p>
    <w:p>
      <w:pPr>
        <w:spacing w:line="620" w:lineRule="exact"/>
        <w:ind w:firstLine="640" w:firstLineChars="200"/>
        <w:rPr>
          <w:rFonts w:ascii="仿宋_GB2312" w:hAnsi="宋体" w:eastAsia="仿宋_GB2312" w:cs="宋体"/>
          <w:kern w:val="0"/>
          <w:sz w:val="32"/>
          <w:szCs w:val="32"/>
        </w:rPr>
      </w:pPr>
      <w:r>
        <w:rPr>
          <w:rFonts w:hint="eastAsia" w:ascii="楷体" w:hAnsi="楷体" w:eastAsia="楷体" w:cs="宋体"/>
          <w:kern w:val="0"/>
          <w:sz w:val="32"/>
          <w:szCs w:val="32"/>
        </w:rPr>
        <w:t>（一）诉讼案例。</w:t>
      </w:r>
      <w:r>
        <w:rPr>
          <w:rFonts w:hint="eastAsia" w:ascii="仿宋" w:hAnsi="仿宋" w:eastAsia="仿宋"/>
          <w:sz w:val="32"/>
          <w:szCs w:val="32"/>
        </w:rPr>
        <w:t>包括案情介绍、代理意见、判决结果、司法文书、案例评析、结语和建议，</w:t>
      </w:r>
      <w:r>
        <w:rPr>
          <w:rFonts w:hint="eastAsia" w:ascii="仿宋_GB2312" w:hAnsi="等线" w:eastAsia="仿宋_GB2312"/>
          <w:sz w:val="32"/>
          <w:szCs w:val="32"/>
        </w:rPr>
        <w:t>篇幅在3000-5000字左右</w:t>
      </w:r>
      <w:r>
        <w:rPr>
          <w:rFonts w:hint="eastAsia" w:ascii="仿宋" w:hAnsi="仿宋" w:eastAsia="仿宋"/>
          <w:sz w:val="32"/>
          <w:szCs w:val="32"/>
        </w:rPr>
        <w:t>。</w:t>
      </w:r>
    </w:p>
    <w:p>
      <w:pPr>
        <w:spacing w:line="620" w:lineRule="exact"/>
        <w:ind w:firstLine="636"/>
        <w:rPr>
          <w:rFonts w:ascii="仿宋" w:hAnsi="仿宋" w:eastAsia="仿宋"/>
          <w:sz w:val="32"/>
          <w:szCs w:val="32"/>
        </w:rPr>
      </w:pPr>
      <w:r>
        <w:rPr>
          <w:rFonts w:hint="eastAsia" w:ascii="楷体" w:hAnsi="楷体" w:eastAsia="楷体" w:cs="宋体"/>
          <w:kern w:val="0"/>
          <w:sz w:val="32"/>
          <w:szCs w:val="32"/>
        </w:rPr>
        <w:t>（二）非诉讼案例。</w:t>
      </w:r>
      <w:r>
        <w:rPr>
          <w:rFonts w:hint="eastAsia" w:ascii="仿宋" w:hAnsi="仿宋" w:eastAsia="仿宋"/>
          <w:sz w:val="32"/>
          <w:szCs w:val="32"/>
        </w:rPr>
        <w:t>包括案情介绍、争议焦点、律师代理思路、案件结果概述、相关法律规定解读、案例评析、结语和建议，</w:t>
      </w:r>
      <w:r>
        <w:rPr>
          <w:rFonts w:hint="eastAsia" w:ascii="仿宋_GB2312" w:hAnsi="等线" w:eastAsia="仿宋_GB2312"/>
          <w:sz w:val="32"/>
          <w:szCs w:val="32"/>
        </w:rPr>
        <w:t>篇幅在3000-5000字左右</w:t>
      </w:r>
      <w:r>
        <w:rPr>
          <w:rFonts w:hint="eastAsia" w:ascii="仿宋" w:hAnsi="仿宋" w:eastAsia="仿宋"/>
          <w:sz w:val="32"/>
          <w:szCs w:val="32"/>
        </w:rPr>
        <w:t>。</w:t>
      </w:r>
    </w:p>
    <w:p>
      <w:pPr>
        <w:spacing w:line="620" w:lineRule="exact"/>
        <w:ind w:firstLine="636"/>
        <w:rPr>
          <w:rFonts w:ascii="仿宋" w:hAnsi="仿宋" w:eastAsia="仿宋"/>
          <w:sz w:val="32"/>
          <w:szCs w:val="32"/>
        </w:rPr>
      </w:pPr>
      <w:r>
        <w:rPr>
          <w:rFonts w:hint="eastAsia" w:ascii="楷体" w:hAnsi="楷体" w:eastAsia="楷体" w:cs="宋体"/>
          <w:kern w:val="0"/>
          <w:sz w:val="32"/>
          <w:szCs w:val="32"/>
        </w:rPr>
        <w:t>（三）维权、惩戒案例。</w:t>
      </w:r>
      <w:r>
        <w:rPr>
          <w:rFonts w:hint="eastAsia" w:ascii="仿宋" w:hAnsi="仿宋" w:eastAsia="仿宋"/>
          <w:sz w:val="32"/>
          <w:szCs w:val="32"/>
        </w:rPr>
        <w:t>维权案例包括被侵犯执业权利、人身权利的律师姓名、所在执业机构名称；何单位因何案件侵害律师何种类型的权利；维护律师权利的单位名称、维权过程和维权效果。惩戒案例以行政处罚决定书或行业处分决定决定书的方式体现，包括违法违规事实、处理情况和给予行政处罚、行业处分的依据等。维权、惩戒案例篇幅根据实际工作需要确定。</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四、组织实施</w:t>
      </w:r>
    </w:p>
    <w:p>
      <w:pPr>
        <w:adjustRightInd w:val="0"/>
        <w:snapToGrid w:val="0"/>
        <w:spacing w:line="600" w:lineRule="exact"/>
        <w:ind w:firstLine="627" w:firstLineChars="196"/>
        <w:rPr>
          <w:rFonts w:ascii="楷体" w:hAnsi="楷体" w:eastAsia="楷体"/>
          <w:b/>
          <w:sz w:val="32"/>
          <w:szCs w:val="32"/>
        </w:rPr>
      </w:pPr>
      <w:r>
        <w:rPr>
          <w:rFonts w:hint="eastAsia" w:ascii="楷体" w:hAnsi="楷体" w:eastAsia="楷体" w:cs="宋体"/>
          <w:kern w:val="0"/>
          <w:sz w:val="32"/>
          <w:szCs w:val="32"/>
        </w:rPr>
        <w:t>（一）成立案例选编工作小组。</w:t>
      </w:r>
      <w:r>
        <w:rPr>
          <w:rFonts w:hint="eastAsia" w:ascii="仿宋" w:hAnsi="仿宋" w:eastAsia="仿宋"/>
          <w:sz w:val="32"/>
          <w:szCs w:val="32"/>
        </w:rPr>
        <w:t>成立由司法部律师公证工作指导司司长担任组长的</w:t>
      </w:r>
      <w:r>
        <w:rPr>
          <w:rFonts w:hint="eastAsia" w:ascii="仿宋_GB2312" w:hAnsi="宋体" w:eastAsia="仿宋_GB2312" w:cs="宋体"/>
          <w:sz w:val="32"/>
          <w:szCs w:val="32"/>
        </w:rPr>
        <w:t>案例选编小组，对各省（区、市）</w:t>
      </w:r>
      <w:r>
        <w:rPr>
          <w:rFonts w:hint="eastAsia" w:ascii="仿宋" w:hAnsi="仿宋" w:eastAsia="仿宋"/>
          <w:sz w:val="32"/>
          <w:szCs w:val="32"/>
        </w:rPr>
        <w:t>司法行政机关律师管理部门报送的案例进行评选，经案例选编工作小组同意的案例可以入选案例库。</w:t>
      </w:r>
    </w:p>
    <w:p>
      <w:pPr>
        <w:adjustRightInd w:val="0"/>
        <w:snapToGrid w:val="0"/>
        <w:spacing w:line="600" w:lineRule="exact"/>
        <w:ind w:firstLine="627" w:firstLineChars="196"/>
        <w:rPr>
          <w:rFonts w:ascii="仿宋" w:hAnsi="仿宋" w:eastAsia="仿宋"/>
          <w:sz w:val="32"/>
          <w:szCs w:val="32"/>
        </w:rPr>
      </w:pPr>
      <w:r>
        <w:rPr>
          <w:rFonts w:hint="eastAsia" w:ascii="仿宋_GB2312" w:hAnsi="宋体" w:eastAsia="仿宋_GB2312" w:cs="宋体"/>
          <w:sz w:val="32"/>
          <w:szCs w:val="32"/>
        </w:rPr>
        <w:t>成立由全国律协各专业委员会主任、相应专门委员会主任20余人组成的案例选编小组，对上报案例的专业性和典型性进行匿名评选，经选编小组半数以上同意的案例可以入选案例库。</w:t>
      </w:r>
    </w:p>
    <w:p>
      <w:pPr>
        <w:adjustRightInd w:val="0"/>
        <w:snapToGrid w:val="0"/>
        <w:spacing w:line="600" w:lineRule="exact"/>
        <w:ind w:firstLine="627" w:firstLineChars="196"/>
        <w:rPr>
          <w:rFonts w:ascii="仿宋" w:hAnsi="仿宋" w:eastAsia="仿宋"/>
          <w:sz w:val="32"/>
          <w:szCs w:val="32"/>
        </w:rPr>
      </w:pPr>
      <w:r>
        <w:rPr>
          <w:rFonts w:hint="eastAsia" w:ascii="楷体" w:hAnsi="楷体" w:eastAsia="楷体" w:cs="宋体"/>
          <w:kern w:val="0"/>
          <w:sz w:val="32"/>
          <w:szCs w:val="32"/>
        </w:rPr>
        <w:t>（二）建立联络员制度。</w:t>
      </w:r>
      <w:r>
        <w:rPr>
          <w:rFonts w:hint="eastAsia" w:ascii="仿宋" w:hAnsi="仿宋" w:eastAsia="仿宋"/>
          <w:sz w:val="32"/>
          <w:szCs w:val="32"/>
        </w:rPr>
        <w:t>各级司法行政机关律师管理部门应当指定负责案例选编和报送工作的联络员，明确联系方式和通信邮箱。联络员名单报部律师公证工作指导司备案并适时更新。</w:t>
      </w:r>
    </w:p>
    <w:p>
      <w:pPr>
        <w:adjustRightInd w:val="0"/>
        <w:snapToGrid w:val="0"/>
        <w:spacing w:line="600" w:lineRule="exact"/>
        <w:ind w:firstLine="627" w:firstLineChars="196"/>
        <w:rPr>
          <w:rFonts w:ascii="仿宋" w:hAnsi="仿宋" w:eastAsia="仿宋"/>
          <w:sz w:val="32"/>
          <w:szCs w:val="32"/>
        </w:rPr>
      </w:pPr>
      <w:r>
        <w:rPr>
          <w:rFonts w:hint="eastAsia" w:ascii="仿宋" w:hAnsi="仿宋" w:eastAsia="仿宋"/>
          <w:sz w:val="32"/>
          <w:szCs w:val="32"/>
        </w:rPr>
        <w:t>各省（区、市）律师协会应当指定负责案例选编和报送工作的联络员，明确联系方式和通信邮箱。联络员名单报全国律协备案并适时更新。</w:t>
      </w:r>
    </w:p>
    <w:p>
      <w:pPr>
        <w:adjustRightInd w:val="0"/>
        <w:snapToGrid w:val="0"/>
        <w:spacing w:line="600" w:lineRule="exact"/>
        <w:ind w:firstLine="627" w:firstLineChars="196"/>
        <w:rPr>
          <w:rFonts w:ascii="仿宋" w:hAnsi="仿宋" w:eastAsia="仿宋"/>
          <w:sz w:val="32"/>
          <w:szCs w:val="32"/>
        </w:rPr>
      </w:pPr>
      <w:r>
        <w:rPr>
          <w:rFonts w:hint="eastAsia" w:ascii="楷体" w:hAnsi="楷体" w:eastAsia="楷体" w:cs="宋体"/>
          <w:kern w:val="0"/>
          <w:sz w:val="32"/>
          <w:szCs w:val="32"/>
        </w:rPr>
        <w:t>（三）建立逐级审批报送制度。</w:t>
      </w:r>
      <w:r>
        <w:rPr>
          <w:rFonts w:hint="eastAsia" w:ascii="仿宋" w:hAnsi="仿宋" w:eastAsia="仿宋"/>
          <w:sz w:val="32"/>
          <w:szCs w:val="32"/>
        </w:rPr>
        <w:t>各级司法行政机关律师管理部门应当严格按照选编范围和标准对相关维权、惩戒案例进行选编、审核，逐级审报后，由各省（区、市）司法行政机关律师管理部门统一报送部律师公证工作指导司。</w:t>
      </w:r>
    </w:p>
    <w:p>
      <w:pPr>
        <w:spacing w:line="6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各省（区、市）律师协会应根据全国律协关于报送案例的统一要求，对本省（区、市）内具有代表性的律师代理的诉讼、非诉讼案例和律师维权惩戒案例进行整理汇总，确保案例中不出现政治、专业等方向性错误，及时统一按照标准格式将案例电子文档报送全国律协。</w:t>
      </w:r>
    </w:p>
    <w:p>
      <w:pPr>
        <w:spacing w:line="6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br w:type="page"/>
      </w:r>
    </w:p>
    <w:p>
      <w:pPr>
        <w:pStyle w:val="2"/>
        <w:keepNext/>
        <w:keepLines/>
        <w:pageBreakBefore w:val="0"/>
        <w:widowControl w:val="0"/>
        <w:kinsoku/>
        <w:wordWrap/>
        <w:overflowPunct/>
        <w:topLinePunct w:val="0"/>
        <w:autoSpaceDE/>
        <w:autoSpaceDN/>
        <w:bidi w:val="0"/>
        <w:adjustRightInd/>
        <w:snapToGrid w:val="0"/>
        <w:spacing w:before="340" w:after="33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rPr>
      </w:pPr>
      <w:bookmarkStart w:id="3" w:name="_Toc492316952"/>
      <w:r>
        <w:rPr>
          <w:rFonts w:hint="eastAsia" w:ascii="方正小标宋简体" w:hAnsi="方正小标宋简体" w:eastAsia="方正小标宋简体" w:cs="方正小标宋简体"/>
          <w:b w:val="0"/>
        </w:rPr>
        <w:t>司法行政（法律服务）案例库公证行业案例选编实施办法</w:t>
      </w:r>
      <w:bookmarkEnd w:id="3"/>
    </w:p>
    <w:p>
      <w:pPr>
        <w:rPr>
          <w:rFonts w:ascii="仿宋" w:hAnsi="仿宋" w:eastAsia="仿宋"/>
          <w:sz w:val="32"/>
          <w:szCs w:val="32"/>
        </w:rPr>
      </w:pPr>
      <w:r>
        <w:rPr>
          <w:rFonts w:ascii="仿宋" w:hAnsi="仿宋" w:eastAsia="仿宋"/>
          <w:sz w:val="32"/>
          <w:szCs w:val="32"/>
        </w:rPr>
        <w:t xml:space="preserve">                     </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根据《司法部关于建立司法行政（法律服务）案例库的方案》要求，结合公证行业实际，制定本办法，请遵照执行。</w:t>
      </w:r>
    </w:p>
    <w:p>
      <w:pPr>
        <w:ind w:firstLine="640" w:firstLineChars="200"/>
        <w:rPr>
          <w:rFonts w:ascii="黑体" w:hAnsi="黑体" w:eastAsia="黑体" w:cs="仿宋_GB2312"/>
          <w:bCs/>
          <w:sz w:val="32"/>
          <w:szCs w:val="32"/>
        </w:rPr>
      </w:pPr>
      <w:r>
        <w:rPr>
          <w:rFonts w:hint="eastAsia" w:ascii="黑体" w:hAnsi="黑体" w:eastAsia="黑体" w:cs="仿宋_GB2312"/>
          <w:bCs/>
          <w:sz w:val="32"/>
          <w:szCs w:val="32"/>
        </w:rPr>
        <w:t>一、案例选编范围、类型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（一）传统公证典型案例和新型公证案例（不仅限于案例模板所涉业务类型）；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（二）违法处罚、行业处分案例。</w:t>
      </w:r>
    </w:p>
    <w:p>
      <w:pPr>
        <w:ind w:firstLine="640" w:firstLineChars="200"/>
        <w:rPr>
          <w:rFonts w:ascii="黑体" w:hAnsi="黑体" w:eastAsia="黑体" w:cs="仿宋_GB2312"/>
          <w:bCs/>
          <w:sz w:val="32"/>
          <w:szCs w:val="32"/>
        </w:rPr>
      </w:pPr>
      <w:r>
        <w:rPr>
          <w:rFonts w:hint="eastAsia" w:ascii="黑体" w:hAnsi="黑体" w:eastAsia="黑体" w:cs="仿宋_GB2312"/>
          <w:bCs/>
          <w:sz w:val="32"/>
          <w:szCs w:val="32"/>
        </w:rPr>
        <w:t>二、案例选编原则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（一）坚持依法原则，选编案例应示范性地适用有关法律法规；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（二）坚持及时原则，选编案例应反映公证工作取得的成绩，反映当前经济社会和法治建设新动向，并按照月度及时更新；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（三）坚持规范原则，选编案例体例应符合要求，遵循统一格式，满足司法行政信息化建设需要；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（四）坚持实用原则，选编案例应当对于社会主体知晓公证、认可公证并办理公证具有促进推动作用，对于公证员办理公证业务具有指导作用。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（五）坚持分类原则，选编案例应当从正反两个方面，反映公证工作发展中取得的成绩和存在的问题，既要编选正面案例，也要编选公证违法违规案例。</w:t>
      </w:r>
    </w:p>
    <w:p>
      <w:pPr>
        <w:ind w:firstLine="640" w:firstLineChars="200"/>
        <w:rPr>
          <w:rFonts w:ascii="黑体" w:hAnsi="黑体" w:eastAsia="黑体" w:cs="仿宋_GB2312"/>
          <w:bCs/>
          <w:sz w:val="32"/>
          <w:szCs w:val="32"/>
        </w:rPr>
      </w:pPr>
      <w:r>
        <w:rPr>
          <w:rFonts w:hint="eastAsia" w:ascii="黑体" w:hAnsi="黑体" w:eastAsia="黑体" w:cs="仿宋_GB2312"/>
          <w:bCs/>
          <w:sz w:val="32"/>
          <w:szCs w:val="32"/>
        </w:rPr>
        <w:t>三、案例选编标准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（一）案例内容符合《公证法》等法律法规规定，办证程序规范严谨，证词表述准确，适用格式正确；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（二）充分彰显公证预防纠纷、维护当事人合法权益的职能优势，具有典型的示范引领作用和良好社会效果，或展现公证人员爱岗敬业服务为民的奉献精神；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（三）具有较大社会影响力或行业影响，或涉及公共利益和民生改善，具有普法和引导作用；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（四）案例具有同行参考和研究价值，对正确理解和适用法律、对公证业务的办理具有指导意义；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（五）实践中出现的新类型公证事项，或适用新颁布、新修改的法律法规或司法解释的规定，对统一类似公证案件办理具有规范作用；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（六）其他具有编选价值的案例。</w:t>
      </w:r>
    </w:p>
    <w:p>
      <w:pPr>
        <w:ind w:firstLine="640" w:firstLineChars="200"/>
        <w:rPr>
          <w:rFonts w:ascii="黑体" w:hAnsi="黑体" w:eastAsia="黑体" w:cs="仿宋_GB2312"/>
          <w:bCs/>
          <w:sz w:val="32"/>
          <w:szCs w:val="32"/>
        </w:rPr>
      </w:pPr>
      <w:r>
        <w:rPr>
          <w:rFonts w:hint="eastAsia" w:ascii="黑体" w:hAnsi="黑体" w:eastAsia="黑体" w:cs="仿宋_GB2312"/>
          <w:bCs/>
          <w:sz w:val="32"/>
          <w:szCs w:val="32"/>
        </w:rPr>
        <w:t>四、案例内容要求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（一）案例选编要按照统一的文字格式要求填写，检索主题词要规范；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（二）公证业务类案例每类案例字数相对统一，原则上不超过3000字，以说清事实为准；违法处罚、行业处分案例以实际行文为准；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（三）每篇案例须注明案例编写人实名及单位；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（四）每篇案例须进行逐级实名审稿。</w:t>
      </w:r>
    </w:p>
    <w:p>
      <w:pPr>
        <w:ind w:firstLine="640" w:firstLineChars="200"/>
        <w:rPr>
          <w:rFonts w:ascii="黑体" w:hAnsi="黑体" w:eastAsia="黑体" w:cs="仿宋_GB2312"/>
          <w:bCs/>
          <w:sz w:val="32"/>
          <w:szCs w:val="32"/>
        </w:rPr>
      </w:pPr>
      <w:r>
        <w:rPr>
          <w:rFonts w:hint="eastAsia" w:ascii="黑体" w:hAnsi="黑体" w:eastAsia="黑体" w:cs="仿宋_GB2312"/>
          <w:bCs/>
          <w:sz w:val="32"/>
          <w:szCs w:val="32"/>
        </w:rPr>
        <w:t>五、组织实施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（一）建立逐级审核报送制度。</w:t>
      </w:r>
      <w:r>
        <w:rPr>
          <w:rFonts w:hint="eastAsia" w:ascii="仿宋" w:hAnsi="仿宋" w:eastAsia="仿宋"/>
          <w:sz w:val="32"/>
          <w:szCs w:val="32"/>
        </w:rPr>
        <w:t>各省（区、市）、市（盟）、县（区、旗）司法行政机关，</w:t>
      </w:r>
      <w:r>
        <w:rPr>
          <w:rFonts w:hint="eastAsia" w:ascii="仿宋_GB2312" w:hAnsi="仿宋_GB2312" w:eastAsia="仿宋_GB2312" w:cs="仿宋_GB2312"/>
          <w:sz w:val="32"/>
          <w:szCs w:val="32"/>
        </w:rPr>
        <w:t>各省（区、市）公证协会应当及时对公证机构相关案例进行遴选、审核、报送。公证业务类案例由各公证机构、各省（区、市）公证协会逐级审核报送至中国公证协会。违法处罚、行业处分类案例由</w:t>
      </w:r>
      <w:r>
        <w:rPr>
          <w:rFonts w:hint="eastAsia" w:ascii="仿宋" w:hAnsi="仿宋" w:eastAsia="仿宋"/>
          <w:sz w:val="32"/>
          <w:szCs w:val="32"/>
        </w:rPr>
        <w:t>各省（区、市）司法行政机关、</w:t>
      </w:r>
      <w:r>
        <w:rPr>
          <w:rFonts w:hint="eastAsia" w:ascii="仿宋_GB2312" w:hAnsi="仿宋_GB2312" w:eastAsia="仿宋_GB2312" w:cs="仿宋_GB2312"/>
          <w:sz w:val="32"/>
          <w:szCs w:val="32"/>
        </w:rPr>
        <w:t>各省（区、市）公证协会</w:t>
      </w:r>
      <w:r>
        <w:rPr>
          <w:rFonts w:hint="eastAsia" w:ascii="仿宋" w:hAnsi="仿宋" w:eastAsia="仿宋"/>
          <w:sz w:val="32"/>
          <w:szCs w:val="32"/>
        </w:rPr>
        <w:t>报律师公证工作指导司</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（二）建立联络员制度。</w:t>
      </w:r>
      <w:r>
        <w:rPr>
          <w:rFonts w:hint="eastAsia" w:ascii="仿宋" w:hAnsi="仿宋" w:eastAsia="仿宋"/>
          <w:sz w:val="32"/>
          <w:szCs w:val="32"/>
        </w:rPr>
        <w:t>各省（区、市）、市（盟）、县（区、旗）司法行政机关，</w:t>
      </w:r>
      <w:r>
        <w:rPr>
          <w:rFonts w:hint="eastAsia" w:ascii="仿宋_GB2312" w:hAnsi="仿宋_GB2312" w:eastAsia="仿宋_GB2312" w:cs="仿宋_GB2312"/>
          <w:sz w:val="32"/>
          <w:szCs w:val="32"/>
        </w:rPr>
        <w:t>各省（区、市）公证协会应当指定联络员，明确联系方式和通信邮箱，</w:t>
      </w:r>
      <w:r>
        <w:rPr>
          <w:rFonts w:hint="eastAsia" w:ascii="仿宋" w:hAnsi="仿宋" w:eastAsia="仿宋"/>
          <w:sz w:val="32"/>
          <w:szCs w:val="32"/>
        </w:rPr>
        <w:t>向律师公证工作指导司、</w:t>
      </w:r>
      <w:r>
        <w:rPr>
          <w:rFonts w:hint="eastAsia" w:ascii="仿宋_GB2312" w:hAnsi="仿宋_GB2312" w:eastAsia="仿宋_GB2312" w:cs="仿宋_GB2312"/>
          <w:sz w:val="32"/>
          <w:szCs w:val="32"/>
        </w:rPr>
        <w:t>中国公证协会</w:t>
      </w:r>
      <w:r>
        <w:rPr>
          <w:rFonts w:hint="eastAsia" w:ascii="仿宋" w:hAnsi="仿宋" w:eastAsia="仿宋"/>
          <w:sz w:val="32"/>
          <w:szCs w:val="32"/>
        </w:rPr>
        <w:t>备案并定期更新</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层层落实责任。各省（区、市）公证协会要高度重视公证案例选编工作的重要意义，明确责任人，形成工作制度机制，从讲政治、抓业务、促发展的高度做好公证案例选编工作。公证机构对案例的真实性、合法性负责，各省（区、市）公证协会对案例的公证文书的严谨性和社会效果负责。</w:t>
      </w:r>
    </w:p>
    <w:p>
      <w:pPr>
        <w:rPr>
          <w:rFonts w:ascii="黑体" w:hAnsi="黑体" w:eastAsia="黑体"/>
          <w:sz w:val="32"/>
          <w:szCs w:val="32"/>
        </w:rPr>
      </w:pPr>
    </w:p>
    <w:p/>
    <w:p>
      <w:pPr>
        <w:pStyle w:val="2"/>
        <w:keepNext/>
        <w:keepLines/>
        <w:pageBreakBefore w:val="0"/>
        <w:widowControl w:val="0"/>
        <w:kinsoku/>
        <w:wordWrap/>
        <w:overflowPunct/>
        <w:topLinePunct w:val="0"/>
        <w:autoSpaceDE/>
        <w:autoSpaceDN/>
        <w:bidi w:val="0"/>
        <w:adjustRightInd/>
        <w:snapToGrid w:val="0"/>
        <w:spacing w:before="340" w:after="33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rPr>
      </w:pPr>
      <w:bookmarkStart w:id="4" w:name="_Toc492316953"/>
      <w:r>
        <w:rPr>
          <w:rFonts w:hint="eastAsia" w:ascii="方正小标宋简体" w:hAnsi="方正小标宋简体" w:eastAsia="方正小标宋简体" w:cs="方正小标宋简体"/>
          <w:b w:val="0"/>
        </w:rPr>
        <w:t>司法行政（法律服务）案例库法律援助案例选编实施办法</w:t>
      </w:r>
      <w:bookmarkEnd w:id="4"/>
    </w:p>
    <w:p>
      <w:pPr>
        <w:rPr>
          <w:rFonts w:ascii="仿宋_GB2312" w:eastAsia="仿宋_GB2312"/>
          <w:sz w:val="10"/>
          <w:szCs w:val="10"/>
        </w:rPr>
      </w:pPr>
    </w:p>
    <w:p>
      <w:pPr>
        <w:ind w:firstLine="645"/>
        <w:rPr>
          <w:rFonts w:ascii="仿宋_GB2312" w:eastAsia="仿宋_GB2312"/>
          <w:sz w:val="32"/>
          <w:szCs w:val="32"/>
        </w:rPr>
      </w:pPr>
      <w:r>
        <w:rPr>
          <w:rFonts w:hint="eastAsia" w:ascii="仿宋_GB2312" w:eastAsia="仿宋_GB2312"/>
          <w:sz w:val="32"/>
          <w:szCs w:val="32"/>
        </w:rPr>
        <w:t>根据《司法部关于建立司法行政法律服务案例库的方案》要求，结合法律援助系统工作实际，制定法律援助系统案例选编实施办法，请遵照执行。</w:t>
      </w:r>
    </w:p>
    <w:p>
      <w:pPr>
        <w:ind w:firstLine="645"/>
        <w:rPr>
          <w:rFonts w:ascii="黑体" w:eastAsia="黑体"/>
          <w:sz w:val="32"/>
          <w:szCs w:val="32"/>
        </w:rPr>
      </w:pPr>
      <w:r>
        <w:rPr>
          <w:rFonts w:hint="eastAsia" w:ascii="黑体" w:eastAsia="黑体"/>
          <w:sz w:val="32"/>
          <w:szCs w:val="32"/>
        </w:rPr>
        <w:t>一、案例选编范围和类型</w:t>
      </w:r>
    </w:p>
    <w:p>
      <w:pPr>
        <w:ind w:firstLine="645"/>
        <w:rPr>
          <w:rFonts w:ascii="仿宋_GB2312" w:eastAsia="仿宋_GB2312"/>
          <w:sz w:val="32"/>
          <w:szCs w:val="32"/>
        </w:rPr>
      </w:pPr>
      <w:r>
        <w:rPr>
          <w:rFonts w:hint="eastAsia" w:ascii="楷体_GB2312" w:eastAsia="楷体_GB2312"/>
          <w:sz w:val="32"/>
          <w:szCs w:val="32"/>
        </w:rPr>
        <w:t>（一）案例选编的范围</w:t>
      </w:r>
      <w:r>
        <w:rPr>
          <w:rFonts w:hint="eastAsia" w:ascii="仿宋_GB2312" w:eastAsia="仿宋_GB2312"/>
          <w:sz w:val="32"/>
          <w:szCs w:val="32"/>
        </w:rPr>
        <w:t>：根据《法律援助条例》（国务院令第385号）规定，结合各省（区、市）法律援助条例扩大的事项范围进行选编。</w:t>
      </w:r>
    </w:p>
    <w:p>
      <w:pPr>
        <w:ind w:firstLine="645"/>
        <w:rPr>
          <w:rFonts w:ascii="楷体_GB2312" w:eastAsia="楷体_GB2312"/>
          <w:sz w:val="32"/>
          <w:szCs w:val="32"/>
        </w:rPr>
      </w:pPr>
      <w:r>
        <w:rPr>
          <w:rFonts w:hint="eastAsia" w:ascii="楷体_GB2312" w:eastAsia="楷体_GB2312"/>
          <w:sz w:val="32"/>
          <w:szCs w:val="32"/>
        </w:rPr>
        <w:t>（二）法律援助案例：</w:t>
      </w:r>
      <w:r>
        <w:rPr>
          <w:rFonts w:hint="eastAsia" w:ascii="仿宋_GB2312" w:eastAsia="仿宋_GB2312"/>
          <w:sz w:val="32"/>
          <w:szCs w:val="32"/>
        </w:rPr>
        <w:t>刑事类、民事类和行政类。</w:t>
      </w:r>
    </w:p>
    <w:p>
      <w:pPr>
        <w:ind w:firstLine="645"/>
        <w:rPr>
          <w:rFonts w:ascii="仿宋_GB2312" w:eastAsia="仿宋_GB2312"/>
          <w:sz w:val="32"/>
          <w:szCs w:val="32"/>
        </w:rPr>
      </w:pPr>
      <w:r>
        <w:rPr>
          <w:rFonts w:hint="eastAsia" w:ascii="楷体_GB2312" w:eastAsia="楷体_GB2312"/>
          <w:sz w:val="32"/>
          <w:szCs w:val="32"/>
        </w:rPr>
        <w:t>（三）不予法律援助案例</w:t>
      </w:r>
      <w:r>
        <w:rPr>
          <w:rFonts w:hint="eastAsia" w:ascii="仿宋_GB2312" w:eastAsia="仿宋_GB2312"/>
          <w:sz w:val="32"/>
          <w:szCs w:val="32"/>
        </w:rPr>
        <w:t>：法律援助机构不予提供法律援助的典型案例。</w:t>
      </w:r>
    </w:p>
    <w:p>
      <w:pPr>
        <w:ind w:firstLine="645"/>
        <w:rPr>
          <w:rFonts w:ascii="黑体" w:eastAsia="黑体"/>
          <w:sz w:val="32"/>
          <w:szCs w:val="32"/>
        </w:rPr>
      </w:pPr>
      <w:r>
        <w:rPr>
          <w:rFonts w:hint="eastAsia" w:ascii="黑体" w:eastAsia="黑体"/>
          <w:sz w:val="32"/>
          <w:szCs w:val="32"/>
        </w:rPr>
        <w:t>二、案例选编原则和标准</w:t>
      </w:r>
    </w:p>
    <w:p>
      <w:pPr>
        <w:ind w:firstLine="640" w:firstLineChars="200"/>
        <w:rPr>
          <w:rFonts w:ascii="仿宋_GB2312" w:eastAsia="仿宋_GB2312"/>
          <w:sz w:val="32"/>
          <w:szCs w:val="32"/>
        </w:rPr>
      </w:pPr>
      <w:r>
        <w:rPr>
          <w:rFonts w:hint="eastAsia" w:ascii="楷体_GB2312" w:eastAsia="楷体_GB2312"/>
          <w:sz w:val="32"/>
          <w:szCs w:val="32"/>
        </w:rPr>
        <w:t>（一）合法性。</w:t>
      </w:r>
      <w:r>
        <w:rPr>
          <w:rFonts w:hint="eastAsia" w:ascii="仿宋_GB2312" w:eastAsia="仿宋_GB2312"/>
          <w:sz w:val="32"/>
          <w:szCs w:val="32"/>
        </w:rPr>
        <w:t>案例必须符合法律、《法律援助条例》等法规、规章、规范性文件和有关业务规范标准，同时遵守有关案例公开的规定和相关保密制度。</w:t>
      </w:r>
    </w:p>
    <w:p>
      <w:pPr>
        <w:ind w:firstLine="640" w:firstLineChars="200"/>
        <w:rPr>
          <w:rFonts w:ascii="仿宋_GB2312" w:eastAsia="仿宋_GB2312"/>
          <w:sz w:val="32"/>
          <w:szCs w:val="32"/>
        </w:rPr>
      </w:pPr>
      <w:r>
        <w:rPr>
          <w:rFonts w:hint="eastAsia" w:ascii="楷体_GB2312" w:eastAsia="楷体_GB2312"/>
          <w:sz w:val="32"/>
          <w:szCs w:val="32"/>
        </w:rPr>
        <w:t>（二）典型性。</w:t>
      </w:r>
      <w:r>
        <w:rPr>
          <w:rFonts w:hint="eastAsia" w:ascii="仿宋_GB2312" w:eastAsia="仿宋_GB2312"/>
          <w:sz w:val="32"/>
          <w:szCs w:val="32"/>
        </w:rPr>
        <w:t>法律援助案例应从受援人方面突出援助重点群体，包括农民工、老年人、妇女、未成年人、残疾人等。从案件类型上要包含民事、刑事和行政案件，民事案件要突出与民生密切相关的案例。决定不予法律援助的典型案例。</w:t>
      </w:r>
    </w:p>
    <w:p>
      <w:pPr>
        <w:ind w:firstLine="640" w:firstLineChars="200"/>
        <w:rPr>
          <w:rFonts w:ascii="仿宋_GB2312" w:eastAsia="仿宋_GB2312"/>
          <w:sz w:val="32"/>
          <w:szCs w:val="32"/>
        </w:rPr>
      </w:pPr>
      <w:r>
        <w:rPr>
          <w:rFonts w:hint="eastAsia" w:ascii="楷体_GB2312" w:eastAsia="楷体_GB2312"/>
          <w:sz w:val="32"/>
          <w:szCs w:val="32"/>
        </w:rPr>
        <w:t>（三）全面性</w:t>
      </w:r>
      <w:r>
        <w:rPr>
          <w:rFonts w:hint="eastAsia" w:ascii="仿宋_GB2312" w:eastAsia="仿宋_GB2312"/>
          <w:sz w:val="32"/>
          <w:szCs w:val="32"/>
        </w:rPr>
        <w:t>。要反映出法律援助工作发展取得的主要成绩，涵盖各个工作方面、各个业务领域和各个工作程序环节，具有业务指导性；也可总结典型做法和教训，具有启发性、警示性。</w:t>
      </w:r>
    </w:p>
    <w:p>
      <w:pPr>
        <w:ind w:firstLine="640" w:firstLineChars="200"/>
        <w:rPr>
          <w:rFonts w:ascii="仿宋_GB2312" w:eastAsia="仿宋_GB2312"/>
          <w:sz w:val="32"/>
          <w:szCs w:val="32"/>
        </w:rPr>
      </w:pPr>
      <w:r>
        <w:rPr>
          <w:rFonts w:hint="eastAsia" w:ascii="楷体_GB2312" w:eastAsia="楷体_GB2312"/>
          <w:sz w:val="32"/>
          <w:szCs w:val="32"/>
        </w:rPr>
        <w:t>（四）创新性</w:t>
      </w:r>
      <w:r>
        <w:rPr>
          <w:rFonts w:hint="eastAsia" w:ascii="仿宋_GB2312" w:eastAsia="仿宋_GB2312"/>
          <w:sz w:val="32"/>
          <w:szCs w:val="32"/>
        </w:rPr>
        <w:t>。案例要反映出十八大以来法律援助工作适应全面依法治国、全面深化改革的新要求，适应人民群众对法律援助新需求，扩大法律援助范围，提高法律援助质量，完善法律援助制度等方面的创新举措和做法。</w:t>
      </w:r>
    </w:p>
    <w:p>
      <w:pPr>
        <w:ind w:firstLine="640" w:firstLineChars="200"/>
        <w:rPr>
          <w:rFonts w:ascii="仿宋_GB2312" w:eastAsia="仿宋_GB2312"/>
          <w:sz w:val="32"/>
          <w:szCs w:val="32"/>
        </w:rPr>
      </w:pPr>
      <w:r>
        <w:rPr>
          <w:rFonts w:hint="eastAsia" w:ascii="楷体_GB2312" w:eastAsia="楷体_GB2312"/>
          <w:sz w:val="32"/>
          <w:szCs w:val="32"/>
        </w:rPr>
        <w:t>（五）规范性</w:t>
      </w:r>
      <w:r>
        <w:rPr>
          <w:rFonts w:hint="eastAsia" w:ascii="仿宋_GB2312" w:eastAsia="仿宋_GB2312"/>
          <w:sz w:val="32"/>
          <w:szCs w:val="32"/>
        </w:rPr>
        <w:t>。选编的法律援助案例文书要遵循《案例填写文字统一规范要求》和《法律援助案例文档格式》要求。</w:t>
      </w:r>
    </w:p>
    <w:p>
      <w:pPr>
        <w:ind w:firstLine="645"/>
        <w:rPr>
          <w:rFonts w:ascii="黑体" w:eastAsia="黑体"/>
          <w:sz w:val="32"/>
          <w:szCs w:val="32"/>
        </w:rPr>
      </w:pPr>
      <w:r>
        <w:rPr>
          <w:rFonts w:hint="eastAsia" w:ascii="黑体" w:eastAsia="黑体"/>
          <w:sz w:val="32"/>
          <w:szCs w:val="32"/>
        </w:rPr>
        <w:t>三、案例选编内容</w:t>
      </w:r>
    </w:p>
    <w:p>
      <w:pPr>
        <w:ind w:firstLine="645"/>
        <w:rPr>
          <w:rFonts w:ascii="仿宋_GB2312" w:eastAsia="仿宋_GB2312"/>
          <w:sz w:val="32"/>
          <w:szCs w:val="32"/>
        </w:rPr>
      </w:pPr>
      <w:r>
        <w:rPr>
          <w:rFonts w:hint="eastAsia" w:ascii="楷体_GB2312" w:eastAsia="楷体_GB2312"/>
          <w:sz w:val="32"/>
          <w:szCs w:val="32"/>
        </w:rPr>
        <w:t>（一）法律援助案例</w:t>
      </w:r>
      <w:r>
        <w:rPr>
          <w:rFonts w:hint="eastAsia" w:ascii="仿宋_GB2312" w:eastAsia="仿宋_GB2312"/>
          <w:sz w:val="32"/>
          <w:szCs w:val="32"/>
        </w:rPr>
        <w:t>。案例编辑体例应包括以下内容：标题、案件类型、办理方式、指派单位、承办单位、承办人、报送单位、编写人、检索主题词，案情简介(可包含办案经过），案件点评(可包含争议焦点涉及的相关法律条文、法律问题及法理分析等相关内容)，审稿人。</w:t>
      </w:r>
    </w:p>
    <w:p>
      <w:pPr>
        <w:ind w:firstLine="645"/>
        <w:rPr>
          <w:rFonts w:ascii="仿宋_GB2312" w:eastAsia="仿宋_GB2312"/>
          <w:sz w:val="32"/>
          <w:szCs w:val="32"/>
        </w:rPr>
      </w:pPr>
      <w:r>
        <w:rPr>
          <w:rFonts w:hint="eastAsia" w:ascii="楷体_GB2312" w:eastAsia="楷体_GB2312"/>
          <w:sz w:val="32"/>
          <w:szCs w:val="32"/>
        </w:rPr>
        <w:t>（二）不予法律援助案例</w:t>
      </w:r>
      <w:r>
        <w:rPr>
          <w:rFonts w:hint="eastAsia" w:ascii="仿宋_GB2312" w:eastAsia="仿宋_GB2312"/>
          <w:sz w:val="32"/>
          <w:szCs w:val="32"/>
        </w:rPr>
        <w:t>。案例编辑体例应包括以下内容：申请时间、案件类型、审查单位、案例报送单位、案例编写人、检索主题词，案情简介，不予法律援助原因，法律依据，审稿人。</w:t>
      </w:r>
    </w:p>
    <w:p>
      <w:pPr>
        <w:ind w:firstLine="645"/>
        <w:rPr>
          <w:rFonts w:ascii="黑体" w:eastAsia="黑体"/>
          <w:sz w:val="32"/>
          <w:szCs w:val="32"/>
        </w:rPr>
      </w:pPr>
      <w:r>
        <w:rPr>
          <w:rFonts w:hint="eastAsia" w:ascii="黑体" w:eastAsia="黑体"/>
          <w:sz w:val="32"/>
          <w:szCs w:val="32"/>
        </w:rPr>
        <w:t>四、组织实施</w:t>
      </w:r>
    </w:p>
    <w:p>
      <w:pPr>
        <w:ind w:firstLine="640" w:firstLineChars="200"/>
        <w:rPr>
          <w:rFonts w:ascii="仿宋_GB2312" w:eastAsia="仿宋_GB2312"/>
          <w:sz w:val="32"/>
          <w:szCs w:val="32"/>
        </w:rPr>
      </w:pPr>
      <w:r>
        <w:rPr>
          <w:rFonts w:hint="eastAsia" w:ascii="楷体_GB2312" w:eastAsia="楷体_GB2312"/>
          <w:sz w:val="32"/>
          <w:szCs w:val="32"/>
        </w:rPr>
        <w:t>（一）组织领导</w:t>
      </w:r>
      <w:r>
        <w:rPr>
          <w:rFonts w:hint="eastAsia" w:ascii="仿宋_GB2312" w:eastAsia="仿宋_GB2312"/>
          <w:sz w:val="32"/>
          <w:szCs w:val="32"/>
        </w:rPr>
        <w:t>。各省、自治区、直辖市司法厅（局）法律援助处（局、中心）新疆生产建设兵团司法局法律援助处应成立案例选编工作小组，并确定案例选编工作的专门联络人员，实现专人负责案例选编工作。</w:t>
      </w:r>
    </w:p>
    <w:p>
      <w:pPr>
        <w:ind w:firstLine="645"/>
        <w:rPr>
          <w:rFonts w:ascii="仿宋_GB2312" w:eastAsia="仿宋_GB2312"/>
          <w:sz w:val="32"/>
          <w:szCs w:val="32"/>
        </w:rPr>
      </w:pPr>
      <w:r>
        <w:rPr>
          <w:rFonts w:hint="eastAsia" w:ascii="楷体_GB2312" w:eastAsia="楷体_GB2312"/>
          <w:sz w:val="32"/>
          <w:szCs w:val="32"/>
        </w:rPr>
        <w:t>（二）案例的筛选、审核</w:t>
      </w:r>
      <w:r>
        <w:rPr>
          <w:rFonts w:hint="eastAsia" w:ascii="仿宋_GB2312" w:eastAsia="仿宋_GB2312"/>
          <w:sz w:val="32"/>
          <w:szCs w:val="32"/>
        </w:rPr>
        <w:t>。各地应及时对本级机关和下辖法律援助机构的相关案例进行选编、审核后报司法部法律援助工作司，部法律援助工作司对法律援助案例负责汇总、审核后送研究室复核。</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645"/>
        <w:rPr>
          <w:rFonts w:ascii="仿宋_GB2312" w:eastAsia="仿宋_GB2312"/>
          <w:sz w:val="32"/>
          <w:szCs w:val="32"/>
        </w:rPr>
      </w:pPr>
    </w:p>
    <w:p/>
    <w:p/>
    <w:p/>
    <w:p/>
    <w:p/>
    <w:p/>
    <w:p/>
    <w:p/>
    <w:p/>
    <w:p/>
    <w:p/>
    <w:p/>
    <w:p/>
    <w:p/>
    <w:p/>
    <w:p/>
    <w:p/>
    <w:p/>
    <w:p>
      <w:pPr>
        <w:pStyle w:val="2"/>
        <w:keepNext/>
        <w:keepLines/>
        <w:pageBreakBefore w:val="0"/>
        <w:widowControl w:val="0"/>
        <w:kinsoku/>
        <w:wordWrap/>
        <w:overflowPunct/>
        <w:topLinePunct w:val="0"/>
        <w:autoSpaceDE/>
        <w:autoSpaceDN/>
        <w:bidi w:val="0"/>
        <w:adjustRightInd/>
        <w:snapToGrid w:val="0"/>
        <w:spacing w:before="340" w:after="33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rPr>
      </w:pPr>
      <w:bookmarkStart w:id="5" w:name="_Toc492316954"/>
      <w:r>
        <w:rPr>
          <w:rFonts w:hint="eastAsia" w:ascii="方正小标宋简体" w:hAnsi="方正小标宋简体" w:eastAsia="方正小标宋简体" w:cs="方正小标宋简体"/>
          <w:b w:val="0"/>
        </w:rPr>
        <w:t>司法行政（法律服务）案例库人民调解案例选编实施办法</w:t>
      </w:r>
      <w:bookmarkEnd w:id="5"/>
    </w:p>
    <w:p>
      <w:pPr>
        <w:rPr>
          <w:rFonts w:ascii="长城小标宋体" w:eastAsia="长城小标宋体"/>
          <w:sz w:val="44"/>
          <w:szCs w:val="44"/>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根据《司法部关于建立司法行政（法律服务）案例库的方案》要求，结合人民调解工作实际，制定人民调解案例选编实施办法，请遵照执行。  </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一、案例选编的范围、类型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人民调解案例选编的范围是各类人民调解典型案例，特别是行业性、专业性人民调解典型案例。</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（一）行业性、专业性人民调解典型案例</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类型包括医疗纠纷案例、道路交通事故纠纷案例、劳动争议纠纷案例、物业纠纷案例、环境污染纠纷案例、消费纠纷案例、旅游纠纷案例、电子商务纠纷案例等。</w:t>
      </w:r>
    </w:p>
    <w:p>
      <w:pPr>
        <w:spacing w:line="60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（二）其他人民调解典型案例</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类型包括婚姻家庭纠纷案例、邻里纠纷案例、房屋宅基地纠纷案例、合同纠纷案例、生产经营纠纷案例、损害赔偿纠纷案例、山林土地纠纷案例、征地拆迁纠纷案例等。</w:t>
      </w:r>
    </w:p>
    <w:p>
      <w:pPr>
        <w:numPr>
          <w:ilvl w:val="0"/>
          <w:numId w:val="1"/>
        </w:numPr>
        <w:spacing w:line="600" w:lineRule="exact"/>
        <w:ind w:firstLine="640"/>
        <w:rPr>
          <w:rFonts w:ascii="黑体" w:hAnsi="黑体" w:eastAsia="黑体" w:cs="黑体"/>
          <w:sz w:val="32"/>
          <w:szCs w:val="32"/>
        </w:rPr>
      </w:pPr>
      <w:r>
        <w:rPr>
          <w:rFonts w:hint="eastAsia" w:ascii="黑体" w:hAnsi="黑体" w:eastAsia="黑体" w:cs="黑体"/>
          <w:sz w:val="32"/>
          <w:szCs w:val="32"/>
        </w:rPr>
        <w:t>案例选编的原则、标准</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（一）案例选编的原则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坚持依法原则，选编案例要遵守法律、法规有关案例公开的规定和相关保密制度。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坚持典型原则，要从正反两个方面选编典型案例，传播正能量，有利于总结人民调解工作经验和吸取教训，有利于促进人民调解工作改革发展。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坚持规范原则，选编的案例文书要遵循统一格式，符合人民调解工作规范化要求。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坚持客观原则，选编案例要尊重事实，客观真实反映人民调解工作。</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（二）案例选编的标准</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eastAsia="仿宋_GB2312"/>
          <w:sz w:val="32"/>
          <w:szCs w:val="32"/>
        </w:rPr>
        <w:t>1.真实性</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要按照矛盾纠纷的类型，选编真实发生的案例，内容包括矛盾纠纷发生的时间、地点、缘由、双方当事人、主持调解的人民调解委员会和人民调解员、调解过程和结果等，字数一般控制在2500字左右。   </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eastAsia="仿宋_GB2312"/>
          <w:sz w:val="32"/>
          <w:szCs w:val="32"/>
        </w:rPr>
        <w:t>2.典型性</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要对类似的纠纷调解具有指导、示范和借鉴意义，既能反映人民调解工作的整体面貌和优势成效，又能反映不同种类人民调解组织之间、不同类型矛盾纠纷之间的具体特点和工作方式、方法。</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eastAsia="仿宋_GB2312"/>
          <w:sz w:val="32"/>
          <w:szCs w:val="32"/>
        </w:rPr>
        <w:t xml:space="preserve"> 3.规范性</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要按照人民调解法等有关规定，使用规范的人民调解组织名称，遵循法定调解程序，制作规范的调解文书，同时注意用语合乎公序良俗和当地风俗习惯。</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eastAsia="仿宋_GB2312"/>
          <w:sz w:val="32"/>
          <w:szCs w:val="32"/>
        </w:rPr>
        <w:t>4.新颖性</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既要选编反映人民调解工作发展脉络的典型案例，更要着重选编反映党的十八大以来，人民调解工作服务党委政府中心工作，化解矛盾纠纷特别是新型矛盾纠纷的典型案例。</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eastAsia="仿宋_GB2312"/>
          <w:sz w:val="32"/>
          <w:szCs w:val="32"/>
        </w:rPr>
        <w:t>5.可公开性</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凡涉及国家秘密、个人隐私、商业秘密，违反未成年人保护相关法规，以及其他不宜在互联网公开的案例，未经技术处理不得选编。</w:t>
      </w:r>
    </w:p>
    <w:p>
      <w:pPr>
        <w:spacing w:line="60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r>
        <w:rPr>
          <w:rFonts w:hint="eastAsia" w:ascii="黑体" w:hAnsi="黑体" w:eastAsia="黑体" w:cs="黑体"/>
          <w:sz w:val="32"/>
          <w:szCs w:val="32"/>
        </w:rPr>
        <w:t>三、案例选编的内容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各类型的案例应包括以下内容：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eastAsia="仿宋_GB2312"/>
          <w:sz w:val="32"/>
          <w:szCs w:val="32"/>
        </w:rPr>
        <w:t>1.案情简介</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包括纠纷发生的时间、地点、事由，申请人和被申请人姓名（技术处理为“姓氏+某某”），调解纠纷的人民调解委员会名称，双方当事人诉求及争议焦点等。</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eastAsia="仿宋_GB2312"/>
          <w:sz w:val="32"/>
          <w:szCs w:val="32"/>
        </w:rPr>
        <w:t>2.调解过程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按照法定程序进行调解，重点表述调解纠纷适用的法律依据或其他依据，制定的调解方案、过程和方式方法等。</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eastAsia="仿宋_GB2312"/>
          <w:sz w:val="32"/>
          <w:szCs w:val="32"/>
        </w:rPr>
        <w:t>3.调解结果</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双方当事人在调委会主持下达成的调解协议以及是否申请司法确认、是否满意等。</w:t>
      </w:r>
    </w:p>
    <w:p>
      <w:pPr>
        <w:spacing w:line="600" w:lineRule="exact"/>
        <w:rPr>
          <w:rFonts w:eastAsia="仿宋_GB2312"/>
          <w:sz w:val="32"/>
          <w:szCs w:val="32"/>
        </w:rPr>
      </w:pPr>
      <w:r>
        <w:rPr>
          <w:rFonts w:hint="eastAsia" w:eastAsia="仿宋_GB2312"/>
          <w:sz w:val="32"/>
          <w:szCs w:val="32"/>
        </w:rPr>
        <w:t xml:space="preserve">    4.案例点评</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主要从调解纠纷依据的法律政策、运用的专业知识、采取的调解技巧等方面进行点评。</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四、案例选编的组织实施</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（一）组织领导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各省、自治区、直辖市司法厅（局）基层工作指导处应成立人民调解案例选编工作小组，并确定案例选编工作的专门联络人员，实现专人负责案例选编工作。</w:t>
      </w:r>
    </w:p>
    <w:p>
      <w:pPr>
        <w:numPr>
          <w:ilvl w:val="0"/>
          <w:numId w:val="2"/>
        </w:num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案例的筛选、审核</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级司法行政机关、人民调解员协会应当按照统一的标准、格式，对本行政区域内发生的人民调解典型案例进行选编、审核，逐级核报至省、自治区、直辖市司法厅（局）人民调解案例选编工作小组。人民调解案例选编工作小组应对各地报送的人民调解典型案例进行筛选、把关，精心挑选优秀案例报送至司法部基层工作指导司。要严格选编纪律，杜绝人情选编，对在选编工作中发生政治、业务等方向性错误的，要严肃追究责任。</w:t>
      </w:r>
    </w:p>
    <w:p>
      <w:pPr>
        <w:numPr>
          <w:ilvl w:val="0"/>
          <w:numId w:val="2"/>
        </w:num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案例的报送</w:t>
      </w:r>
    </w:p>
    <w:p>
      <w:pPr>
        <w:spacing w:line="600" w:lineRule="exact"/>
      </w:pPr>
      <w:r>
        <w:rPr>
          <w:rFonts w:hint="eastAsia" w:ascii="仿宋_GB2312" w:hAnsi="仿宋_GB2312" w:eastAsia="仿宋_GB2312" w:cs="仿宋_GB2312"/>
          <w:sz w:val="32"/>
          <w:szCs w:val="32"/>
        </w:rPr>
        <w:t xml:space="preserve">    各省、自治区、直辖市司法厅（局）人民调解案例选编工作小组应在每月20日前，按照格式要求，将案例的电子文档通过刻盘的方式上报至司法部基层工作指导司。</w:t>
      </w:r>
    </w:p>
    <w:p>
      <w:pPr>
        <w:jc w:val="center"/>
        <w:rPr>
          <w:rFonts w:ascii="宋体" w:hAnsi="宋体" w:cs="方正小标宋简体"/>
          <w:b/>
          <w:sz w:val="36"/>
          <w:szCs w:val="36"/>
        </w:rPr>
      </w:pPr>
    </w:p>
    <w:p/>
    <w:p/>
    <w:p/>
    <w:p/>
    <w:p/>
    <w:p/>
    <w:p/>
    <w:p/>
    <w:p/>
    <w:p/>
    <w:p/>
    <w:p/>
    <w:p>
      <w:pPr>
        <w:pStyle w:val="2"/>
        <w:keepNext/>
        <w:keepLines/>
        <w:pageBreakBefore w:val="0"/>
        <w:widowControl w:val="0"/>
        <w:kinsoku/>
        <w:wordWrap/>
        <w:overflowPunct/>
        <w:topLinePunct w:val="0"/>
        <w:autoSpaceDE/>
        <w:autoSpaceDN/>
        <w:bidi w:val="0"/>
        <w:adjustRightInd/>
        <w:snapToGrid w:val="0"/>
        <w:spacing w:before="340" w:after="33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rPr>
      </w:pPr>
      <w:bookmarkStart w:id="6" w:name="_Toc492316955"/>
      <w:r>
        <w:rPr>
          <w:rFonts w:hint="eastAsia" w:ascii="方正小标宋简体" w:hAnsi="方正小标宋简体" w:eastAsia="方正小标宋简体" w:cs="方正小标宋简体"/>
          <w:b w:val="0"/>
        </w:rPr>
        <w:t>司法行政（法律服务）案例库国家司法考试案例选编实施办法</w:t>
      </w:r>
      <w:bookmarkEnd w:id="6"/>
    </w:p>
    <w:p>
      <w:pPr>
        <w:rPr>
          <w:rFonts w:ascii="仿宋_GB2312" w:hAnsi="Calibri" w:eastAsia="仿宋_GB2312"/>
          <w:sz w:val="32"/>
          <w:szCs w:val="32"/>
        </w:rPr>
      </w:pPr>
    </w:p>
    <w:p>
      <w:pPr>
        <w:ind w:firstLine="645"/>
        <w:rPr>
          <w:rFonts w:ascii="仿宋_GB2312" w:hAnsi="Calibri" w:eastAsia="仿宋_GB2312"/>
          <w:sz w:val="32"/>
          <w:szCs w:val="32"/>
        </w:rPr>
      </w:pPr>
      <w:r>
        <w:rPr>
          <w:rFonts w:hint="eastAsia" w:ascii="仿宋_GB2312" w:hAnsi="Calibri" w:eastAsia="仿宋_GB2312"/>
          <w:sz w:val="32"/>
          <w:szCs w:val="32"/>
        </w:rPr>
        <w:t>根究《司法部关于建立司法行政（法律服务）案例库的方案》要求，结合国家司法考试工作实际，制定国家司法考试典型案例选编实施办法，请遵照执行。</w:t>
      </w:r>
    </w:p>
    <w:p>
      <w:pPr>
        <w:ind w:firstLine="645"/>
        <w:rPr>
          <w:rFonts w:ascii="黑体" w:hAnsi="黑体" w:eastAsia="黑体"/>
          <w:sz w:val="32"/>
          <w:szCs w:val="32"/>
        </w:rPr>
      </w:pPr>
      <w:r>
        <w:rPr>
          <w:rFonts w:hint="eastAsia" w:ascii="黑体" w:hAnsi="黑体" w:eastAsia="黑体"/>
          <w:sz w:val="32"/>
          <w:szCs w:val="32"/>
        </w:rPr>
        <w:t>一、案例选编范围、类型</w:t>
      </w:r>
    </w:p>
    <w:p>
      <w:pPr>
        <w:ind w:firstLine="645"/>
        <w:rPr>
          <w:rFonts w:ascii="仿宋_GB2312" w:hAnsi="Calibri" w:eastAsia="仿宋_GB2312"/>
          <w:sz w:val="32"/>
          <w:szCs w:val="32"/>
        </w:rPr>
      </w:pPr>
      <w:r>
        <w:rPr>
          <w:rFonts w:hint="eastAsia" w:ascii="仿宋_GB2312" w:hAnsi="Calibri" w:eastAsia="仿宋_GB2312"/>
          <w:sz w:val="32"/>
          <w:szCs w:val="32"/>
        </w:rPr>
        <w:t>（一）具有普遍性、指导性的国家司法考试行政诉讼、行政复议、政府信息公开申请的典型案例；</w:t>
      </w:r>
    </w:p>
    <w:p>
      <w:pPr>
        <w:ind w:firstLine="645"/>
        <w:rPr>
          <w:rFonts w:ascii="仿宋_GB2312" w:hAnsi="Calibri" w:eastAsia="仿宋_GB2312"/>
          <w:sz w:val="32"/>
          <w:szCs w:val="32"/>
        </w:rPr>
      </w:pPr>
      <w:r>
        <w:rPr>
          <w:rFonts w:hint="eastAsia" w:ascii="仿宋_GB2312" w:hAnsi="Calibri" w:eastAsia="仿宋_GB2312"/>
          <w:sz w:val="32"/>
          <w:szCs w:val="32"/>
        </w:rPr>
        <w:t>（二）国家司法考试组织实施中发生的考试作弊、扰乱考场秩序事件、提供虚假证明材料等形式骗取报名资格和申请法律职业资格等违法违纪行为的应对处置案例；</w:t>
      </w:r>
    </w:p>
    <w:p>
      <w:pPr>
        <w:ind w:firstLine="645"/>
        <w:rPr>
          <w:rFonts w:ascii="仿宋_GB2312" w:hAnsi="Calibri" w:eastAsia="仿宋_GB2312"/>
          <w:sz w:val="32"/>
          <w:szCs w:val="32"/>
        </w:rPr>
      </w:pPr>
      <w:r>
        <w:rPr>
          <w:rFonts w:hint="eastAsia" w:ascii="仿宋_GB2312" w:hAnsi="Calibri" w:eastAsia="仿宋_GB2312"/>
          <w:sz w:val="32"/>
          <w:szCs w:val="32"/>
        </w:rPr>
        <w:t>（三）国家司法考试机构认为有典型意义的其他案例。</w:t>
      </w:r>
    </w:p>
    <w:p>
      <w:pPr>
        <w:ind w:firstLine="645"/>
        <w:rPr>
          <w:rFonts w:ascii="黑体" w:hAnsi="黑体" w:eastAsia="黑体"/>
          <w:sz w:val="32"/>
          <w:szCs w:val="32"/>
        </w:rPr>
      </w:pPr>
      <w:r>
        <w:rPr>
          <w:rFonts w:hint="eastAsia" w:ascii="黑体" w:hAnsi="黑体" w:eastAsia="黑体"/>
          <w:sz w:val="32"/>
          <w:szCs w:val="32"/>
        </w:rPr>
        <w:t>二、案例选编的原则、标准</w:t>
      </w:r>
    </w:p>
    <w:p>
      <w:pPr>
        <w:ind w:firstLine="645"/>
        <w:rPr>
          <w:rFonts w:ascii="仿宋_GB2312" w:hAnsi="Calibri" w:eastAsia="仿宋_GB2312"/>
          <w:sz w:val="32"/>
          <w:szCs w:val="32"/>
        </w:rPr>
      </w:pPr>
      <w:r>
        <w:rPr>
          <w:rFonts w:hint="eastAsia" w:ascii="仿宋_GB2312" w:hAnsi="Calibri" w:eastAsia="仿宋_GB2312"/>
          <w:sz w:val="32"/>
          <w:szCs w:val="32"/>
        </w:rPr>
        <w:t>案例选择主要从党的十八大以来发生在本省（区、市）具有典型意义、示范作用的案例，其中各地进入司法处理程序的案例必须报送。</w:t>
      </w:r>
    </w:p>
    <w:p>
      <w:pPr>
        <w:ind w:firstLine="645"/>
        <w:rPr>
          <w:rFonts w:ascii="黑体" w:hAnsi="黑体" w:eastAsia="黑体"/>
          <w:sz w:val="32"/>
          <w:szCs w:val="32"/>
        </w:rPr>
      </w:pPr>
      <w:r>
        <w:rPr>
          <w:rFonts w:hint="eastAsia" w:ascii="黑体" w:hAnsi="黑体" w:eastAsia="黑体"/>
          <w:sz w:val="32"/>
          <w:szCs w:val="32"/>
        </w:rPr>
        <w:t>三、案例选编的内容</w:t>
      </w:r>
    </w:p>
    <w:p>
      <w:pPr>
        <w:ind w:firstLine="645"/>
        <w:rPr>
          <w:rFonts w:ascii="仿宋_GB2312" w:hAnsi="Calibri" w:eastAsia="仿宋_GB2312"/>
          <w:sz w:val="32"/>
          <w:szCs w:val="32"/>
        </w:rPr>
      </w:pPr>
      <w:r>
        <w:rPr>
          <w:rFonts w:hint="eastAsia" w:ascii="仿宋_GB2312" w:hAnsi="Calibri" w:eastAsia="仿宋_GB2312"/>
          <w:sz w:val="32"/>
          <w:szCs w:val="32"/>
        </w:rPr>
        <w:t>案例要主题突出、条理清楚、语言精练。每个案例应当包括三部分内容：（1）案例概要；（2）应对措施；（3）处理依据及结果。其中，应对措施要具体明确，处理结果要体现工作成效，基本经验既可总结经验，也可反思不足。</w:t>
      </w:r>
    </w:p>
    <w:p>
      <w:pPr>
        <w:ind w:firstLine="645"/>
        <w:rPr>
          <w:rFonts w:ascii="仿宋_GB2312" w:hAnsi="Calibri" w:eastAsia="仿宋_GB2312"/>
          <w:sz w:val="32"/>
          <w:szCs w:val="32"/>
        </w:rPr>
      </w:pPr>
      <w:r>
        <w:rPr>
          <w:rFonts w:hint="eastAsia" w:ascii="仿宋_GB2312" w:hAnsi="Calibri" w:eastAsia="仿宋_GB2312"/>
          <w:sz w:val="32"/>
          <w:szCs w:val="32"/>
        </w:rPr>
        <w:t>每篇案例字数为2000至3000字左右。</w:t>
      </w:r>
    </w:p>
    <w:p>
      <w:pPr>
        <w:ind w:firstLine="645"/>
        <w:rPr>
          <w:rFonts w:ascii="黑体" w:hAnsi="黑体" w:eastAsia="黑体"/>
          <w:sz w:val="32"/>
          <w:szCs w:val="32"/>
        </w:rPr>
      </w:pPr>
      <w:r>
        <w:rPr>
          <w:rFonts w:hint="eastAsia" w:ascii="黑体" w:hAnsi="黑体" w:eastAsia="黑体"/>
          <w:sz w:val="32"/>
          <w:szCs w:val="32"/>
        </w:rPr>
        <w:t>四、案例选编的组织实施</w:t>
      </w:r>
    </w:p>
    <w:p>
      <w:pPr>
        <w:ind w:firstLine="645"/>
        <w:rPr>
          <w:rFonts w:ascii="仿宋_GB2312" w:hAnsi="Calibri" w:eastAsia="仿宋_GB2312"/>
          <w:sz w:val="32"/>
          <w:szCs w:val="32"/>
        </w:rPr>
      </w:pPr>
      <w:r>
        <w:rPr>
          <w:rFonts w:hint="eastAsia" w:ascii="仿宋_GB2312" w:hAnsi="Calibri" w:eastAsia="仿宋_GB2312"/>
          <w:sz w:val="32"/>
          <w:szCs w:val="32"/>
        </w:rPr>
        <w:t>案例由地市司法局或省（区、市）司法厅（局）提供，由所在省（区、市）司法厅（局）司法考试处（室）主要负责同志审核后，报司法部国家司法考试司审核确定。司法考试司成立案例选编小组，分管司领导担任组长，综合处、考试处担任小组成员，联络员由监管处负责同志担任。</w:t>
      </w:r>
    </w:p>
    <w:p>
      <w:pPr>
        <w:ind w:firstLine="645"/>
        <w:rPr>
          <w:rFonts w:ascii="仿宋_GB2312" w:hAnsi="Calibri"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 w:hAnsi="仿宋" w:eastAsia="仿宋"/>
          <w:sz w:val="32"/>
          <w:szCs w:val="32"/>
        </w:rPr>
      </w:pPr>
    </w:p>
    <w:p>
      <w:pPr>
        <w:jc w:val="center"/>
        <w:rPr>
          <w:rFonts w:ascii="宋体" w:hAnsi="宋体" w:cs="Calibri"/>
          <w:b/>
          <w:sz w:val="36"/>
          <w:szCs w:val="36"/>
        </w:rPr>
      </w:pPr>
    </w:p>
    <w:p>
      <w:pPr>
        <w:jc w:val="center"/>
        <w:rPr>
          <w:rFonts w:ascii="宋体" w:hAnsi="宋体" w:cs="Calibri"/>
          <w:b/>
          <w:sz w:val="36"/>
          <w:szCs w:val="36"/>
        </w:rPr>
      </w:pPr>
    </w:p>
    <w:p>
      <w:pPr>
        <w:jc w:val="center"/>
        <w:rPr>
          <w:rFonts w:ascii="宋体" w:hAnsi="宋体" w:cs="Calibri"/>
          <w:b/>
          <w:sz w:val="36"/>
          <w:szCs w:val="36"/>
        </w:rPr>
      </w:pPr>
    </w:p>
    <w:p>
      <w:pPr>
        <w:jc w:val="center"/>
        <w:rPr>
          <w:rFonts w:ascii="宋体" w:hAnsi="宋体" w:cs="Calibri"/>
          <w:b/>
          <w:sz w:val="36"/>
          <w:szCs w:val="36"/>
        </w:rPr>
      </w:pPr>
    </w:p>
    <w:p>
      <w:pPr>
        <w:jc w:val="center"/>
        <w:rPr>
          <w:rFonts w:ascii="宋体" w:hAnsi="宋体" w:cs="Calibri"/>
          <w:b/>
          <w:sz w:val="36"/>
          <w:szCs w:val="36"/>
        </w:rPr>
      </w:pPr>
    </w:p>
    <w:p>
      <w:pPr>
        <w:jc w:val="center"/>
        <w:rPr>
          <w:rFonts w:ascii="宋体" w:hAnsi="宋体" w:cs="Calibri"/>
          <w:b/>
          <w:sz w:val="36"/>
          <w:szCs w:val="36"/>
        </w:rPr>
      </w:pPr>
    </w:p>
    <w:p>
      <w:pPr>
        <w:jc w:val="center"/>
        <w:rPr>
          <w:rFonts w:ascii="宋体" w:hAnsi="宋体" w:cs="Calibri"/>
          <w:b/>
          <w:sz w:val="36"/>
          <w:szCs w:val="36"/>
        </w:rPr>
      </w:pPr>
    </w:p>
    <w:p>
      <w:pPr>
        <w:jc w:val="center"/>
        <w:rPr>
          <w:rFonts w:ascii="宋体" w:hAnsi="宋体" w:cs="Calibri"/>
          <w:b/>
          <w:sz w:val="36"/>
          <w:szCs w:val="36"/>
        </w:rPr>
      </w:pPr>
    </w:p>
    <w:p>
      <w:pPr>
        <w:rPr>
          <w:rFonts w:ascii="宋体" w:hAnsi="宋体" w:cs="Calibri"/>
          <w:b/>
          <w:sz w:val="36"/>
          <w:szCs w:val="36"/>
        </w:rPr>
      </w:pPr>
    </w:p>
    <w:p>
      <w:pPr>
        <w:pStyle w:val="2"/>
        <w:keepNext/>
        <w:keepLines/>
        <w:pageBreakBefore w:val="0"/>
        <w:widowControl w:val="0"/>
        <w:kinsoku/>
        <w:wordWrap/>
        <w:overflowPunct/>
        <w:topLinePunct w:val="0"/>
        <w:autoSpaceDE/>
        <w:autoSpaceDN/>
        <w:bidi w:val="0"/>
        <w:adjustRightInd/>
        <w:snapToGrid w:val="0"/>
        <w:spacing w:before="340" w:after="33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rPr>
      </w:pPr>
      <w:bookmarkStart w:id="7" w:name="_Toc492316956"/>
      <w:r>
        <w:rPr>
          <w:rFonts w:hint="eastAsia" w:ascii="方正小标宋简体" w:hAnsi="方正小标宋简体" w:eastAsia="方正小标宋简体" w:cs="方正小标宋简体"/>
          <w:b w:val="0"/>
        </w:rPr>
        <w:t>司法行政（法律服务）案例库司法鉴定案例选编实施办法</w:t>
      </w:r>
      <w:bookmarkEnd w:id="7"/>
    </w:p>
    <w:p>
      <w:pPr>
        <w:jc w:val="center"/>
        <w:rPr>
          <w:rFonts w:ascii="长城小标宋体" w:hAnsi="宋体" w:eastAsia="长城小标宋体" w:cs="Calibri"/>
          <w:sz w:val="44"/>
          <w:szCs w:val="44"/>
        </w:rPr>
      </w:pPr>
    </w:p>
    <w:p>
      <w:pPr>
        <w:ind w:firstLine="640" w:firstLineChars="200"/>
        <w:rPr>
          <w:rFonts w:ascii="黑体" w:hAnsi="宋体" w:eastAsia="黑体" w:cs="Calibri"/>
          <w:sz w:val="32"/>
          <w:szCs w:val="32"/>
        </w:rPr>
      </w:pPr>
      <w:r>
        <w:rPr>
          <w:rFonts w:hint="eastAsia" w:ascii="仿宋_GB2312" w:eastAsia="仿宋_GB2312" w:cs="Calibri"/>
          <w:sz w:val="32"/>
          <w:szCs w:val="32"/>
        </w:rPr>
        <w:t>为规范司法鉴定案例选编工作，按照《司法部关于建立司法行政（法律服务）案例库的方案》要求，现制定《司法鉴定案例选编实施办法》，请遵照执行。</w:t>
      </w:r>
    </w:p>
    <w:p>
      <w:pPr>
        <w:ind w:firstLine="640" w:firstLineChars="200"/>
        <w:rPr>
          <w:rFonts w:ascii="黑体" w:hAnsi="宋体" w:eastAsia="黑体" w:cs="Calibri"/>
          <w:sz w:val="32"/>
          <w:szCs w:val="32"/>
        </w:rPr>
      </w:pPr>
      <w:r>
        <w:rPr>
          <w:rFonts w:hint="eastAsia" w:ascii="黑体" w:hAnsi="宋体" w:eastAsia="黑体" w:cs="Calibri"/>
          <w:sz w:val="32"/>
          <w:szCs w:val="32"/>
        </w:rPr>
        <w:t>一、案例选编的范围、类型</w:t>
      </w:r>
    </w:p>
    <w:p>
      <w:pPr>
        <w:ind w:firstLine="640" w:firstLineChars="200"/>
        <w:rPr>
          <w:rFonts w:ascii="仿宋_GB2312" w:hAnsi="Courier New" w:eastAsia="仿宋_GB2312" w:cs="Courier New"/>
          <w:sz w:val="32"/>
          <w:szCs w:val="32"/>
        </w:rPr>
      </w:pPr>
      <w:r>
        <w:rPr>
          <w:rFonts w:hint="eastAsia" w:ascii="仿宋_GB2312" w:hAnsi="Courier New" w:eastAsia="仿宋_GB2312" w:cs="Courier New"/>
          <w:sz w:val="32"/>
          <w:szCs w:val="32"/>
        </w:rPr>
        <w:t>法医、物证、声像资料、环境损害等各类司法鉴定业务案例，鉴定人出庭作证案例，以及司法行政机关对司法鉴定机构和司法鉴定人违法违规执业行为作出的行政处罚案例。</w:t>
      </w:r>
    </w:p>
    <w:p>
      <w:pPr>
        <w:ind w:firstLine="640" w:firstLineChars="200"/>
        <w:rPr>
          <w:rFonts w:ascii="黑体" w:hAnsi="宋体" w:eastAsia="黑体" w:cs="Calibri"/>
          <w:sz w:val="32"/>
          <w:szCs w:val="32"/>
        </w:rPr>
      </w:pPr>
      <w:r>
        <w:rPr>
          <w:rFonts w:hint="eastAsia" w:ascii="黑体" w:hAnsi="宋体" w:eastAsia="黑体" w:cs="Calibri"/>
          <w:sz w:val="32"/>
          <w:szCs w:val="32"/>
        </w:rPr>
        <w:t>二、案例选编的原则、标准</w:t>
      </w:r>
    </w:p>
    <w:p>
      <w:pPr>
        <w:ind w:firstLine="640" w:firstLineChars="200"/>
        <w:rPr>
          <w:rFonts w:ascii="仿宋_GB2312" w:eastAsia="仿宋_GB2312" w:cs="Calibri"/>
          <w:sz w:val="32"/>
          <w:szCs w:val="32"/>
        </w:rPr>
      </w:pPr>
      <w:r>
        <w:rPr>
          <w:rFonts w:hint="eastAsia" w:ascii="楷体" w:hAnsi="楷体" w:eastAsia="楷体" w:cs="Calibri"/>
          <w:sz w:val="32"/>
          <w:szCs w:val="32"/>
        </w:rPr>
        <w:t>（一）选编的案例应当具有指导性。</w:t>
      </w:r>
      <w:r>
        <w:rPr>
          <w:rFonts w:hint="eastAsia" w:ascii="仿宋_GB2312" w:eastAsia="仿宋_GB2312" w:cs="Calibri"/>
          <w:sz w:val="32"/>
          <w:szCs w:val="32"/>
        </w:rPr>
        <w:t>要对开展司法鉴定工作具有普遍指导意义，有利于司法鉴定法律、法规、规范性文件、技术标准和技术规范的统一适用，有利于促进司法鉴定行业的健康发展。</w:t>
      </w:r>
    </w:p>
    <w:p>
      <w:pPr>
        <w:ind w:firstLine="640" w:firstLineChars="200"/>
        <w:rPr>
          <w:rFonts w:ascii="仿宋_GB2312" w:eastAsia="仿宋_GB2312" w:cs="Calibri"/>
          <w:sz w:val="32"/>
          <w:szCs w:val="32"/>
        </w:rPr>
      </w:pPr>
      <w:r>
        <w:rPr>
          <w:rFonts w:hint="eastAsia" w:ascii="楷体" w:hAnsi="楷体" w:eastAsia="楷体" w:cs="仿宋_GB2312"/>
          <w:sz w:val="32"/>
          <w:szCs w:val="32"/>
        </w:rPr>
        <w:t>（二）选编的案例应当具有代表性。</w:t>
      </w:r>
      <w:r>
        <w:rPr>
          <w:rFonts w:hint="eastAsia" w:ascii="仿宋_GB2312" w:eastAsia="仿宋_GB2312" w:cs="Calibri"/>
          <w:sz w:val="32"/>
          <w:szCs w:val="32"/>
        </w:rPr>
        <w:t>要从正反两个方面选编案例，既能反映司法鉴定工作的整体面貌，又能反映出司法鉴定工作的具体特点和工作方式、方法。</w:t>
      </w:r>
    </w:p>
    <w:p>
      <w:pPr>
        <w:ind w:firstLine="640" w:firstLineChars="200"/>
        <w:rPr>
          <w:rFonts w:ascii="仿宋_GB2312" w:eastAsia="仿宋_GB2312" w:cs="Calibri"/>
          <w:sz w:val="32"/>
          <w:szCs w:val="32"/>
        </w:rPr>
      </w:pPr>
      <w:r>
        <w:rPr>
          <w:rFonts w:hint="eastAsia" w:ascii="楷体" w:hAnsi="楷体" w:eastAsia="楷体" w:cs="仿宋_GB2312"/>
          <w:sz w:val="32"/>
          <w:szCs w:val="32"/>
        </w:rPr>
        <w:t>（三）选编的案例应当具有统一格式。</w:t>
      </w:r>
      <w:r>
        <w:rPr>
          <w:rFonts w:hint="eastAsia" w:ascii="仿宋_GB2312" w:eastAsia="仿宋_GB2312" w:cs="Calibri"/>
          <w:sz w:val="32"/>
          <w:szCs w:val="32"/>
        </w:rPr>
        <w:t>要符合司法鉴定案例选编标准及格式要求。</w:t>
      </w:r>
    </w:p>
    <w:p>
      <w:pPr>
        <w:ind w:firstLine="640" w:firstLineChars="200"/>
        <w:rPr>
          <w:rFonts w:ascii="仿宋_GB2312" w:eastAsia="仿宋_GB2312" w:cs="Calibri"/>
          <w:sz w:val="32"/>
          <w:szCs w:val="32"/>
        </w:rPr>
      </w:pPr>
      <w:r>
        <w:rPr>
          <w:rFonts w:hint="eastAsia" w:ascii="楷体" w:hAnsi="楷体" w:eastAsia="楷体" w:cs="仿宋_GB2312"/>
          <w:sz w:val="32"/>
          <w:szCs w:val="32"/>
        </w:rPr>
        <w:t>（四）选编的案例应当具有可公开性。</w:t>
      </w:r>
      <w:r>
        <w:rPr>
          <w:rFonts w:hint="eastAsia" w:ascii="仿宋_GB2312" w:eastAsia="仿宋_GB2312" w:cs="Calibri"/>
          <w:sz w:val="32"/>
          <w:szCs w:val="32"/>
        </w:rPr>
        <w:t>凡涉及国家秘密、个人隐私、商业秘密，可能泄露司法行政工作内部管理制度，可能违反未成年人保护相关法规，以及其他不宜在互联网公开的案例，未经技术处理、脱密、脱敏不得选编。</w:t>
      </w:r>
    </w:p>
    <w:p>
      <w:pPr>
        <w:ind w:firstLine="640" w:firstLineChars="200"/>
        <w:rPr>
          <w:rFonts w:ascii="黑体" w:hAnsi="宋体" w:eastAsia="黑体" w:cs="Calibri"/>
          <w:sz w:val="32"/>
          <w:szCs w:val="32"/>
        </w:rPr>
      </w:pPr>
      <w:r>
        <w:rPr>
          <w:rFonts w:hint="eastAsia" w:ascii="黑体" w:hAnsi="宋体" w:eastAsia="黑体" w:cs="Calibri"/>
          <w:sz w:val="32"/>
          <w:szCs w:val="32"/>
        </w:rPr>
        <w:t>三、案例选编的内容</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366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2019" w:type="dxa"/>
            <w:vMerge w:val="restart"/>
            <w:vAlign w:val="center"/>
          </w:tcPr>
          <w:p>
            <w:pPr>
              <w:jc w:val="center"/>
              <w:rPr>
                <w:rFonts w:ascii="楷体" w:hAnsi="楷体" w:eastAsia="楷体" w:cs="楷体"/>
                <w:b/>
                <w:bCs/>
                <w:sz w:val="32"/>
                <w:szCs w:val="32"/>
              </w:rPr>
            </w:pPr>
            <w:r>
              <w:rPr>
                <w:rFonts w:hint="eastAsia" w:ascii="楷体" w:hAnsi="楷体" w:eastAsia="楷体" w:cs="楷体"/>
                <w:b/>
                <w:bCs/>
                <w:sz w:val="32"/>
                <w:szCs w:val="32"/>
              </w:rPr>
              <w:t>案例类别</w:t>
            </w:r>
          </w:p>
        </w:tc>
        <w:tc>
          <w:tcPr>
            <w:tcW w:w="6503" w:type="dxa"/>
            <w:gridSpan w:val="2"/>
            <w:vAlign w:val="center"/>
          </w:tcPr>
          <w:p>
            <w:pPr>
              <w:jc w:val="center"/>
              <w:rPr>
                <w:rFonts w:ascii="楷体" w:hAnsi="楷体" w:eastAsia="楷体" w:cs="楷体"/>
                <w:b/>
                <w:bCs/>
                <w:sz w:val="32"/>
                <w:szCs w:val="32"/>
              </w:rPr>
            </w:pPr>
            <w:r>
              <w:rPr>
                <w:rFonts w:hint="eastAsia" w:ascii="楷体" w:hAnsi="楷体" w:eastAsia="楷体" w:cs="楷体"/>
                <w:b/>
                <w:bCs/>
                <w:sz w:val="32"/>
                <w:szCs w:val="32"/>
              </w:rPr>
              <w:t>选编内容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2019" w:type="dxa"/>
            <w:vMerge w:val="continue"/>
            <w:vAlign w:val="center"/>
          </w:tcPr>
          <w:p>
            <w:pPr>
              <w:jc w:val="center"/>
            </w:pPr>
          </w:p>
        </w:tc>
        <w:tc>
          <w:tcPr>
            <w:tcW w:w="3662" w:type="dxa"/>
            <w:vAlign w:val="center"/>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28"/>
                <w:szCs w:val="28"/>
              </w:rPr>
              <w:t>基本信息采集内容</w:t>
            </w:r>
          </w:p>
        </w:tc>
        <w:tc>
          <w:tcPr>
            <w:tcW w:w="2841" w:type="dxa"/>
            <w:vAlign w:val="center"/>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28"/>
                <w:szCs w:val="28"/>
              </w:rPr>
              <w:t>正文采集内容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9"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司法鉴定</w:t>
            </w:r>
          </w:p>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业务案例</w:t>
            </w:r>
          </w:p>
        </w:tc>
        <w:tc>
          <w:tcPr>
            <w:tcW w:w="3662" w:type="dxa"/>
          </w:tcPr>
          <w:p>
            <w:pPr>
              <w:spacing w:line="500" w:lineRule="exact"/>
              <w:rPr>
                <w:rFonts w:ascii="仿宋_GB2312" w:eastAsia="仿宋_GB2312" w:cs="Calibri"/>
                <w:sz w:val="32"/>
                <w:szCs w:val="32"/>
              </w:rPr>
            </w:pPr>
            <w:r>
              <w:rPr>
                <w:rFonts w:hint="eastAsia" w:ascii="仿宋_GB2312" w:hAnsi="仿宋_GB2312" w:eastAsia="仿宋_GB2312" w:cs="仿宋_GB2312"/>
                <w:sz w:val="28"/>
                <w:szCs w:val="28"/>
              </w:rPr>
              <w:t>鉴定机构名称、鉴定事项、主办鉴定人、鉴定完成日期、法院是否采信、</w:t>
            </w:r>
            <w:r>
              <w:rPr>
                <w:rFonts w:hint="eastAsia" w:ascii="仿宋_GB2312" w:eastAsia="仿宋_GB2312" w:cs="Calibri"/>
                <w:sz w:val="28"/>
                <w:szCs w:val="28"/>
              </w:rPr>
              <w:t>检索主题词</w:t>
            </w:r>
          </w:p>
        </w:tc>
        <w:tc>
          <w:tcPr>
            <w:tcW w:w="2841"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案情简介、鉴定过程、分析说明、鉴定意见、供稿、审稿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9"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司法鉴定</w:t>
            </w:r>
          </w:p>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出庭作证案例</w:t>
            </w:r>
          </w:p>
        </w:tc>
        <w:tc>
          <w:tcPr>
            <w:tcW w:w="3662"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鉴定机构名称、鉴定事项、出庭作证鉴定人、出庭法院名称、出庭作证日期、是否采信、</w:t>
            </w:r>
            <w:r>
              <w:rPr>
                <w:rFonts w:hint="eastAsia" w:ascii="仿宋_GB2312" w:eastAsia="仿宋_GB2312" w:cs="Calibri"/>
                <w:sz w:val="28"/>
                <w:szCs w:val="28"/>
              </w:rPr>
              <w:t>检索主题词</w:t>
            </w:r>
          </w:p>
        </w:tc>
        <w:tc>
          <w:tcPr>
            <w:tcW w:w="2841"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简要案情、鉴定情况、出庭作证、鉴定意见采信情况、供稿、审稿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9"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司法鉴定</w:t>
            </w:r>
          </w:p>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行政处罚案例</w:t>
            </w:r>
          </w:p>
        </w:tc>
        <w:tc>
          <w:tcPr>
            <w:tcW w:w="3662"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作出行政处罚决定的单位名称、被处罚鉴定机构名称、被处罚鉴定人及所在鉴定机构、处罚事由、处罚结果、予以行政处罚日期、</w:t>
            </w:r>
            <w:r>
              <w:rPr>
                <w:rFonts w:hint="eastAsia" w:ascii="仿宋_GB2312" w:eastAsia="仿宋_GB2312" w:cs="Calibri"/>
                <w:sz w:val="28"/>
                <w:szCs w:val="28"/>
              </w:rPr>
              <w:t>检索主题词</w:t>
            </w:r>
          </w:p>
        </w:tc>
        <w:tc>
          <w:tcPr>
            <w:tcW w:w="2841"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违法违规事实、相关证据、处罚依据、处罚决定、供稿、审稿</w:t>
            </w:r>
          </w:p>
        </w:tc>
      </w:tr>
    </w:tbl>
    <w:p>
      <w:pPr>
        <w:ind w:firstLine="640" w:firstLineChars="200"/>
        <w:rPr>
          <w:rFonts w:ascii="仿宋_GB2312" w:eastAsia="仿宋_GB2312" w:cs="Calibri"/>
          <w:sz w:val="32"/>
          <w:szCs w:val="32"/>
        </w:rPr>
      </w:pPr>
    </w:p>
    <w:p>
      <w:pPr>
        <w:ind w:firstLine="640" w:firstLineChars="200"/>
        <w:rPr>
          <w:rFonts w:ascii="仿宋_GB2312" w:eastAsia="仿宋_GB2312" w:cs="Calibri"/>
          <w:sz w:val="32"/>
          <w:szCs w:val="32"/>
        </w:rPr>
      </w:pPr>
      <w:r>
        <w:rPr>
          <w:rFonts w:hint="eastAsia" w:ascii="仿宋_GB2312" w:eastAsia="仿宋_GB2312" w:cs="Calibri"/>
          <w:sz w:val="32"/>
          <w:szCs w:val="32"/>
        </w:rPr>
        <w:t>注：选编的各类案例字数原则上不超过3000字。具体格式要求参见《案例填写文字统一规范要求》、《司法鉴定案例文档格式》、《司法鉴定案例模板》。</w:t>
      </w:r>
    </w:p>
    <w:p>
      <w:pPr>
        <w:ind w:firstLine="640" w:firstLineChars="200"/>
        <w:rPr>
          <w:rFonts w:ascii="黑体" w:hAnsi="宋体" w:eastAsia="黑体" w:cs="Calibri"/>
          <w:sz w:val="32"/>
          <w:szCs w:val="32"/>
        </w:rPr>
      </w:pPr>
      <w:r>
        <w:rPr>
          <w:rFonts w:hint="eastAsia" w:ascii="黑体" w:hAnsi="宋体" w:eastAsia="黑体" w:cs="Calibri"/>
          <w:sz w:val="32"/>
          <w:szCs w:val="32"/>
        </w:rPr>
        <w:t>四、案例选编的组织实施</w:t>
      </w:r>
    </w:p>
    <w:p>
      <w:pPr>
        <w:ind w:firstLine="640" w:firstLineChars="200"/>
        <w:rPr>
          <w:rFonts w:ascii="仿宋_GB2312" w:eastAsia="仿宋_GB2312" w:cs="Calibri"/>
          <w:sz w:val="32"/>
          <w:szCs w:val="32"/>
        </w:rPr>
      </w:pPr>
      <w:r>
        <w:rPr>
          <w:rFonts w:hint="eastAsia" w:ascii="楷体" w:hAnsi="楷体" w:eastAsia="楷体" w:cs="Calibri"/>
          <w:sz w:val="32"/>
          <w:szCs w:val="32"/>
        </w:rPr>
        <w:t>（一）组织领导。</w:t>
      </w:r>
      <w:r>
        <w:rPr>
          <w:rFonts w:hint="eastAsia" w:ascii="仿宋_GB2312" w:eastAsia="仿宋_GB2312" w:cs="Calibri"/>
          <w:sz w:val="32"/>
          <w:szCs w:val="32"/>
        </w:rPr>
        <w:t>各省（区、市）司法厅（局）司法鉴定管理局（处）应当指定专人负责案例选编工作，明确工作标准和工作职责，制定具体工作办法。</w:t>
      </w:r>
    </w:p>
    <w:p>
      <w:pPr>
        <w:ind w:firstLine="640" w:firstLineChars="200"/>
        <w:rPr>
          <w:rFonts w:ascii="仿宋_GB2312" w:eastAsia="仿宋_GB2312" w:cs="Calibri"/>
          <w:sz w:val="32"/>
          <w:szCs w:val="32"/>
        </w:rPr>
      </w:pPr>
      <w:r>
        <w:rPr>
          <w:rFonts w:hint="eastAsia" w:ascii="楷体" w:hAnsi="楷体" w:eastAsia="楷体" w:cs="Calibri"/>
          <w:sz w:val="32"/>
          <w:szCs w:val="32"/>
        </w:rPr>
        <w:t>（二）案例收集、整理。</w:t>
      </w:r>
      <w:r>
        <w:rPr>
          <w:rFonts w:hint="eastAsia" w:ascii="仿宋_GB2312" w:eastAsia="仿宋_GB2312" w:cs="Calibri"/>
          <w:sz w:val="32"/>
          <w:szCs w:val="32"/>
        </w:rPr>
        <w:t>法医、物证、声像资料、环境损害等各类司法鉴定业务案例和鉴定人出庭作证案例由各司法鉴定机构编写、整理；司法鉴定行政处罚案例由各省（区、市）司法厅（局）司法鉴定管理局（处）整理。案例选编实行署名制，由具体负责编写的单位或个人署名。</w:t>
      </w:r>
    </w:p>
    <w:p>
      <w:pPr>
        <w:ind w:firstLine="640" w:firstLineChars="200"/>
        <w:rPr>
          <w:rFonts w:ascii="仿宋_GB2312" w:eastAsia="仿宋_GB2312" w:cs="Calibri"/>
          <w:sz w:val="32"/>
          <w:szCs w:val="32"/>
        </w:rPr>
      </w:pPr>
      <w:r>
        <w:rPr>
          <w:rFonts w:hint="eastAsia" w:ascii="楷体" w:hAnsi="楷体" w:eastAsia="楷体" w:cs="Calibri"/>
          <w:sz w:val="32"/>
          <w:szCs w:val="32"/>
        </w:rPr>
        <w:t>（三）案例筛选、审核。</w:t>
      </w:r>
      <w:r>
        <w:rPr>
          <w:rFonts w:hint="eastAsia" w:ascii="仿宋_GB2312" w:eastAsia="仿宋_GB2312" w:cs="Calibri"/>
          <w:sz w:val="32"/>
          <w:szCs w:val="32"/>
        </w:rPr>
        <w:t>各省（区、市）司法厅（局）司法鉴定管理局（处）应当按照统一的标准、格式，对本省份司法鉴定机构报送的相关案例进行筛选、审核。案例审核实行署名制，由具体负责审核的单位或个人署名。</w:t>
      </w:r>
    </w:p>
    <w:p>
      <w:pPr>
        <w:ind w:firstLine="640" w:firstLineChars="200"/>
        <w:rPr>
          <w:rFonts w:ascii="仿宋_GB2312" w:eastAsia="仿宋_GB2312" w:cs="Calibri"/>
          <w:sz w:val="32"/>
          <w:szCs w:val="32"/>
        </w:rPr>
      </w:pPr>
      <w:r>
        <w:rPr>
          <w:rFonts w:hint="eastAsia" w:ascii="楷体" w:hAnsi="楷体" w:eastAsia="楷体" w:cs="Calibri"/>
          <w:sz w:val="32"/>
          <w:szCs w:val="32"/>
        </w:rPr>
        <w:t>（四）案例报送。</w:t>
      </w:r>
      <w:r>
        <w:rPr>
          <w:rFonts w:hint="eastAsia" w:ascii="仿宋_GB2312" w:eastAsia="仿宋_GB2312" w:cs="Calibri"/>
          <w:sz w:val="32"/>
          <w:szCs w:val="32"/>
        </w:rPr>
        <w:t>每月20日前，各省（区、市）司法厅（局）司法鉴定管理局（处）将案例的电子文档通过刻盘的方式报送司法部司法鉴定管理局。案例库软件系统正式运行后，按系统要求填报。</w:t>
      </w:r>
    </w:p>
    <w:p>
      <w:pPr>
        <w:jc w:val="center"/>
        <w:rPr>
          <w:rFonts w:ascii="长城小标宋体" w:hAnsi="宋体" w:eastAsia="长城小标宋体" w:cs="Calibri"/>
          <w:sz w:val="44"/>
          <w:szCs w:val="44"/>
        </w:rPr>
      </w:pPr>
    </w:p>
    <w:p>
      <w:pPr>
        <w:rPr>
          <w:rFonts w:ascii="宋体" w:hAnsi="宋体" w:cs="Calibri"/>
          <w:szCs w:val="21"/>
        </w:rPr>
      </w:pPr>
    </w:p>
    <w:p>
      <w:pPr>
        <w:rPr>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rPr>
          <w:rFonts w:cs="Calibri"/>
          <w:szCs w:val="21"/>
        </w:rPr>
      </w:pPr>
    </w:p>
    <w:p>
      <w:pPr>
        <w:pStyle w:val="2"/>
        <w:keepNext/>
        <w:keepLines/>
        <w:pageBreakBefore w:val="0"/>
        <w:widowControl w:val="0"/>
        <w:kinsoku/>
        <w:wordWrap/>
        <w:overflowPunct/>
        <w:topLinePunct w:val="0"/>
        <w:autoSpaceDE/>
        <w:autoSpaceDN/>
        <w:bidi w:val="0"/>
        <w:adjustRightInd/>
        <w:snapToGrid w:val="0"/>
        <w:spacing w:before="340" w:after="33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rPr>
      </w:pPr>
      <w:bookmarkStart w:id="8" w:name="_Toc492316957"/>
      <w:r>
        <w:rPr>
          <w:rFonts w:hint="eastAsia" w:ascii="方正小标宋简体" w:hAnsi="方正小标宋简体" w:eastAsia="方正小标宋简体" w:cs="方正小标宋简体"/>
          <w:b w:val="0"/>
        </w:rPr>
        <w:t>司法行政（法律服务）案例库行政复议行政应诉案例选编实施办法</w:t>
      </w:r>
      <w:bookmarkEnd w:id="8"/>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为充分发挥司法行政机关行政复议行政应诉典型案例的指导作用，进一步规范和指导地方司法行政机关行政复议行政应诉办案工作，推进公共法律服务体系建设，促进资源共享，根据《司法部关于建立司法行政（法律服务）案例库的方案》要求，制定本实施办法。</w:t>
      </w:r>
    </w:p>
    <w:p>
      <w:pPr>
        <w:ind w:firstLine="640" w:firstLineChars="200"/>
        <w:rPr>
          <w:rFonts w:ascii="黑体" w:hAnsi="黑体" w:eastAsia="黑体"/>
          <w:sz w:val="32"/>
          <w:szCs w:val="32"/>
        </w:rPr>
      </w:pPr>
      <w:r>
        <w:rPr>
          <w:rFonts w:hint="eastAsia" w:ascii="黑体" w:hAnsi="黑体" w:eastAsia="黑体"/>
          <w:sz w:val="32"/>
          <w:szCs w:val="32"/>
        </w:rPr>
        <w:t>一、案例选编的范围、类型</w:t>
      </w:r>
    </w:p>
    <w:p>
      <w:pPr>
        <w:ind w:firstLine="640" w:firstLineChars="200"/>
        <w:rPr>
          <w:rFonts w:ascii="仿宋" w:hAnsi="仿宋" w:eastAsia="仿宋"/>
          <w:sz w:val="32"/>
          <w:szCs w:val="32"/>
        </w:rPr>
      </w:pPr>
      <w:r>
        <w:rPr>
          <w:rFonts w:hint="eastAsia" w:ascii="仿宋" w:hAnsi="仿宋" w:eastAsia="仿宋"/>
          <w:sz w:val="32"/>
          <w:szCs w:val="32"/>
        </w:rPr>
        <w:t>选编案例应当是已经发生法律效力，认定事实清楚，适用依据正确，内容适当，说理充分，法律效果和社会效果良好，对审理类似案件具有指导意义的案例。主要涉及司法行政机关行政许可、行政处罚、政府信息公开等行为的行政复议、行政应诉案例。涉及的具体行政行为主要包括以下事项：</w:t>
      </w:r>
    </w:p>
    <w:p>
      <w:pPr>
        <w:ind w:firstLine="640" w:firstLineChars="200"/>
        <w:rPr>
          <w:rFonts w:ascii="仿宋" w:hAnsi="仿宋" w:eastAsia="仿宋"/>
          <w:sz w:val="32"/>
          <w:szCs w:val="32"/>
        </w:rPr>
      </w:pPr>
      <w:r>
        <w:rPr>
          <w:rFonts w:hint="eastAsia" w:ascii="仿宋" w:hAnsi="仿宋" w:eastAsia="仿宋"/>
          <w:sz w:val="32"/>
          <w:szCs w:val="32"/>
        </w:rPr>
        <w:t>1.司法行政机关行政处罚行为。主要涉及对法律服务执业机构和执业人员等的行政处罚案件。</w:t>
      </w:r>
    </w:p>
    <w:p>
      <w:pPr>
        <w:ind w:firstLine="640" w:firstLineChars="200"/>
        <w:rPr>
          <w:rFonts w:ascii="仿宋" w:hAnsi="仿宋" w:eastAsia="仿宋"/>
          <w:sz w:val="32"/>
          <w:szCs w:val="32"/>
        </w:rPr>
      </w:pPr>
      <w:r>
        <w:rPr>
          <w:rFonts w:hint="eastAsia" w:ascii="仿宋" w:hAnsi="仿宋" w:eastAsia="仿宋"/>
          <w:sz w:val="32"/>
          <w:szCs w:val="32"/>
        </w:rPr>
        <w:t>2.司法行政机关行政许可行为。主要涉及律师、公证、司法鉴定、基层法律服务、国家统一法律职业资格考试等行政许可案件。</w:t>
      </w:r>
    </w:p>
    <w:p>
      <w:pPr>
        <w:ind w:firstLine="640" w:firstLineChars="200"/>
        <w:rPr>
          <w:rFonts w:ascii="仿宋" w:hAnsi="仿宋" w:eastAsia="仿宋"/>
          <w:sz w:val="32"/>
          <w:szCs w:val="32"/>
        </w:rPr>
      </w:pPr>
      <w:r>
        <w:rPr>
          <w:rFonts w:hint="eastAsia" w:ascii="仿宋" w:hAnsi="仿宋" w:eastAsia="仿宋"/>
          <w:sz w:val="32"/>
          <w:szCs w:val="32"/>
        </w:rPr>
        <w:t>3.司法行政机关政府信息公开答复行为。</w:t>
      </w:r>
    </w:p>
    <w:p>
      <w:pPr>
        <w:ind w:firstLine="640" w:firstLineChars="200"/>
        <w:rPr>
          <w:rFonts w:ascii="仿宋" w:hAnsi="仿宋" w:eastAsia="仿宋"/>
          <w:sz w:val="32"/>
          <w:szCs w:val="32"/>
        </w:rPr>
      </w:pPr>
      <w:r>
        <w:rPr>
          <w:rFonts w:hint="eastAsia" w:ascii="仿宋" w:hAnsi="仿宋" w:eastAsia="仿宋"/>
          <w:sz w:val="32"/>
          <w:szCs w:val="32"/>
        </w:rPr>
        <w:t>4.司法行政机关投诉处理行为。主要涉及律师、公证、司法鉴定等法律服务执业领域的投诉案件。</w:t>
      </w:r>
    </w:p>
    <w:p>
      <w:pPr>
        <w:ind w:firstLine="640" w:firstLineChars="200"/>
        <w:rPr>
          <w:rFonts w:ascii="仿宋" w:hAnsi="仿宋" w:eastAsia="仿宋"/>
          <w:sz w:val="32"/>
          <w:szCs w:val="32"/>
        </w:rPr>
      </w:pPr>
      <w:r>
        <w:rPr>
          <w:rFonts w:hint="eastAsia" w:ascii="仿宋" w:hAnsi="仿宋" w:eastAsia="仿宋"/>
          <w:sz w:val="32"/>
          <w:szCs w:val="32"/>
        </w:rPr>
        <w:t>5．其他。</w:t>
      </w:r>
    </w:p>
    <w:p>
      <w:pPr>
        <w:ind w:firstLine="480" w:firstLineChars="150"/>
        <w:rPr>
          <w:rFonts w:ascii="黑体" w:hAnsi="黑体" w:eastAsia="黑体"/>
          <w:sz w:val="32"/>
          <w:szCs w:val="32"/>
        </w:rPr>
      </w:pPr>
      <w:r>
        <w:rPr>
          <w:rFonts w:hint="eastAsia" w:ascii="黑体" w:hAnsi="黑体" w:eastAsia="黑体"/>
          <w:sz w:val="32"/>
          <w:szCs w:val="32"/>
        </w:rPr>
        <w:t>二、案例选编的原则、标准</w:t>
      </w:r>
    </w:p>
    <w:p>
      <w:pPr>
        <w:ind w:firstLine="480" w:firstLineChars="150"/>
        <w:rPr>
          <w:rFonts w:ascii="楷体" w:hAnsi="楷体" w:eastAsia="楷体"/>
          <w:sz w:val="32"/>
          <w:szCs w:val="32"/>
        </w:rPr>
      </w:pPr>
      <w:r>
        <w:rPr>
          <w:rFonts w:hint="eastAsia" w:ascii="楷体" w:hAnsi="楷体" w:eastAsia="楷体"/>
          <w:sz w:val="32"/>
          <w:szCs w:val="32"/>
        </w:rPr>
        <w:t>（一）案例选编的原则</w:t>
      </w:r>
    </w:p>
    <w:p>
      <w:pPr>
        <w:ind w:firstLine="480" w:firstLineChars="150"/>
        <w:rPr>
          <w:rFonts w:ascii="仿宋" w:hAnsi="仿宋" w:eastAsia="仿宋"/>
          <w:sz w:val="32"/>
          <w:szCs w:val="32"/>
        </w:rPr>
      </w:pPr>
      <w:r>
        <w:rPr>
          <w:rFonts w:hint="eastAsia" w:ascii="仿宋" w:hAnsi="仿宋" w:eastAsia="仿宋"/>
          <w:sz w:val="32"/>
          <w:szCs w:val="32"/>
        </w:rPr>
        <w:t>坚持依法原则，选编案例要遵守法律、法规有关案例公开的规定和相关保密制度。</w:t>
      </w:r>
    </w:p>
    <w:p>
      <w:pPr>
        <w:ind w:firstLine="480" w:firstLineChars="150"/>
        <w:rPr>
          <w:rFonts w:ascii="仿宋" w:hAnsi="仿宋" w:eastAsia="仿宋"/>
          <w:sz w:val="32"/>
          <w:szCs w:val="32"/>
        </w:rPr>
      </w:pPr>
      <w:r>
        <w:rPr>
          <w:rFonts w:hint="eastAsia" w:ascii="仿宋" w:hAnsi="仿宋" w:eastAsia="仿宋"/>
          <w:sz w:val="32"/>
          <w:szCs w:val="32"/>
        </w:rPr>
        <w:t>坚持典型原则，要从正反两个方面选编有代表性的典型案例，传播正能量，有利于总结司法行政机关行政复议行政应诉工作经验和教训，促进规范执法。</w:t>
      </w:r>
    </w:p>
    <w:p>
      <w:pPr>
        <w:ind w:firstLine="480" w:firstLineChars="150"/>
        <w:rPr>
          <w:rFonts w:ascii="仿宋" w:hAnsi="仿宋" w:eastAsia="仿宋"/>
          <w:sz w:val="32"/>
          <w:szCs w:val="32"/>
        </w:rPr>
      </w:pPr>
      <w:r>
        <w:rPr>
          <w:rFonts w:hint="eastAsia" w:ascii="仿宋" w:hAnsi="仿宋" w:eastAsia="仿宋"/>
          <w:sz w:val="32"/>
          <w:szCs w:val="32"/>
        </w:rPr>
        <w:t>坚持规范原则，选编的案例文书要遵循统一格式，符合司法行政工作规范化、信息化要求。</w:t>
      </w:r>
    </w:p>
    <w:p>
      <w:pPr>
        <w:ind w:firstLine="480" w:firstLineChars="150"/>
        <w:rPr>
          <w:rFonts w:ascii="仿宋" w:hAnsi="仿宋" w:eastAsia="仿宋"/>
          <w:sz w:val="32"/>
          <w:szCs w:val="32"/>
        </w:rPr>
      </w:pPr>
      <w:r>
        <w:rPr>
          <w:rFonts w:hint="eastAsia" w:ascii="仿宋" w:hAnsi="仿宋" w:eastAsia="仿宋"/>
          <w:sz w:val="32"/>
          <w:szCs w:val="32"/>
        </w:rPr>
        <w:t>坚持客观原则，选编案例要尊重事实，客观真实反映司法行政机关行政复议行政应诉办案工作实践。</w:t>
      </w:r>
    </w:p>
    <w:p>
      <w:pPr>
        <w:ind w:firstLine="480" w:firstLineChars="150"/>
        <w:rPr>
          <w:rFonts w:ascii="楷体" w:hAnsi="楷体" w:eastAsia="楷体"/>
          <w:sz w:val="32"/>
          <w:szCs w:val="32"/>
        </w:rPr>
      </w:pPr>
      <w:r>
        <w:rPr>
          <w:rFonts w:hint="eastAsia" w:ascii="楷体" w:hAnsi="楷体" w:eastAsia="楷体"/>
          <w:sz w:val="32"/>
          <w:szCs w:val="32"/>
        </w:rPr>
        <w:t>（二）案例选编的标准</w:t>
      </w:r>
    </w:p>
    <w:p>
      <w:pPr>
        <w:ind w:firstLine="480" w:firstLineChars="150"/>
        <w:rPr>
          <w:rFonts w:ascii="仿宋" w:hAnsi="仿宋" w:eastAsia="仿宋"/>
          <w:sz w:val="32"/>
          <w:szCs w:val="32"/>
        </w:rPr>
      </w:pPr>
      <w:r>
        <w:rPr>
          <w:rFonts w:hint="eastAsia" w:ascii="仿宋" w:hAnsi="仿宋" w:eastAsia="仿宋"/>
          <w:sz w:val="32"/>
          <w:szCs w:val="32"/>
        </w:rPr>
        <w:t>选编的案例应当具有指导性，对系统内行政复议行政应诉办案工作具有普遍指导意义。</w:t>
      </w:r>
    </w:p>
    <w:p>
      <w:pPr>
        <w:ind w:firstLine="480" w:firstLineChars="150"/>
        <w:rPr>
          <w:rFonts w:ascii="仿宋" w:hAnsi="仿宋" w:eastAsia="仿宋"/>
          <w:sz w:val="32"/>
          <w:szCs w:val="32"/>
        </w:rPr>
      </w:pPr>
      <w:r>
        <w:rPr>
          <w:rFonts w:hint="eastAsia" w:ascii="仿宋" w:hAnsi="仿宋" w:eastAsia="仿宋"/>
          <w:sz w:val="32"/>
          <w:szCs w:val="32"/>
        </w:rPr>
        <w:t>选编的案例应当具有可公开性。凡涉及国家秘密、个人隐私、商业秘密，可能违反未成年人保护相关法规，以及其他不宜在互联网上公开的案例，未经技术处理、脱密、脱敏，不得选编。</w:t>
      </w:r>
    </w:p>
    <w:p>
      <w:pPr>
        <w:ind w:firstLine="640" w:firstLineChars="200"/>
        <w:rPr>
          <w:rFonts w:ascii="黑体" w:hAnsi="黑体" w:eastAsia="黑体"/>
          <w:sz w:val="32"/>
          <w:szCs w:val="32"/>
        </w:rPr>
      </w:pPr>
      <w:r>
        <w:rPr>
          <w:rFonts w:hint="eastAsia" w:ascii="黑体" w:hAnsi="黑体" w:eastAsia="黑体"/>
          <w:sz w:val="32"/>
          <w:szCs w:val="32"/>
        </w:rPr>
        <w:t xml:space="preserve">三、案例选编的内容 </w:t>
      </w:r>
    </w:p>
    <w:p>
      <w:pPr>
        <w:ind w:firstLine="480" w:firstLineChars="150"/>
        <w:rPr>
          <w:rFonts w:ascii="仿宋" w:hAnsi="仿宋" w:eastAsia="仿宋"/>
          <w:sz w:val="32"/>
          <w:szCs w:val="32"/>
        </w:rPr>
      </w:pPr>
      <w:r>
        <w:rPr>
          <w:rFonts w:hint="eastAsia" w:ascii="仿宋" w:hAnsi="仿宋" w:eastAsia="仿宋"/>
          <w:sz w:val="32"/>
          <w:szCs w:val="32"/>
        </w:rPr>
        <w:t>案例选编按照行政复议案例、行政应诉案例两个类型选编，一般要求3000字左右。</w:t>
      </w:r>
    </w:p>
    <w:p>
      <w:pPr>
        <w:rPr>
          <w:rFonts w:ascii="楷体" w:hAnsi="楷体" w:eastAsia="楷体"/>
          <w:sz w:val="32"/>
          <w:szCs w:val="32"/>
        </w:rPr>
      </w:pPr>
      <w:r>
        <w:rPr>
          <w:rFonts w:hint="eastAsia" w:ascii="楷体" w:hAnsi="楷体" w:eastAsia="楷体"/>
          <w:sz w:val="32"/>
          <w:szCs w:val="32"/>
        </w:rPr>
        <w:t xml:space="preserve">   （一）行政复议案例。</w:t>
      </w:r>
      <w:r>
        <w:rPr>
          <w:rFonts w:hint="eastAsia" w:ascii="仿宋" w:hAnsi="仿宋" w:eastAsia="仿宋"/>
          <w:sz w:val="32"/>
          <w:szCs w:val="32"/>
        </w:rPr>
        <w:t>主要包括以下内容：</w:t>
      </w:r>
    </w:p>
    <w:p>
      <w:pPr>
        <w:ind w:firstLine="648"/>
        <w:rPr>
          <w:rFonts w:ascii="仿宋" w:hAnsi="仿宋" w:eastAsia="仿宋"/>
          <w:sz w:val="32"/>
          <w:szCs w:val="32"/>
        </w:rPr>
      </w:pPr>
      <w:r>
        <w:rPr>
          <w:rFonts w:hint="eastAsia" w:ascii="仿宋" w:hAnsi="仿宋" w:eastAsia="仿宋"/>
          <w:sz w:val="32"/>
          <w:szCs w:val="32"/>
        </w:rPr>
        <w:t>1.基本案情</w:t>
      </w:r>
    </w:p>
    <w:p>
      <w:pPr>
        <w:ind w:firstLine="648"/>
        <w:rPr>
          <w:rFonts w:ascii="仿宋" w:hAnsi="仿宋" w:eastAsia="仿宋"/>
          <w:sz w:val="32"/>
          <w:szCs w:val="32"/>
        </w:rPr>
      </w:pPr>
      <w:r>
        <w:rPr>
          <w:rFonts w:hint="eastAsia" w:ascii="仿宋" w:hAnsi="仿宋" w:eastAsia="仿宋"/>
          <w:sz w:val="32"/>
          <w:szCs w:val="32"/>
        </w:rPr>
        <w:t>（1）申请人、被申请人基本情况</w:t>
      </w:r>
    </w:p>
    <w:p>
      <w:pPr>
        <w:ind w:firstLine="648"/>
        <w:rPr>
          <w:rFonts w:ascii="仿宋" w:hAnsi="仿宋" w:eastAsia="仿宋"/>
          <w:sz w:val="32"/>
          <w:szCs w:val="32"/>
        </w:rPr>
      </w:pPr>
      <w:r>
        <w:rPr>
          <w:rFonts w:hint="eastAsia" w:ascii="仿宋" w:hAnsi="仿宋" w:eastAsia="仿宋"/>
          <w:sz w:val="32"/>
          <w:szCs w:val="32"/>
        </w:rPr>
        <w:t>（2）案由</w:t>
      </w:r>
    </w:p>
    <w:p>
      <w:pPr>
        <w:ind w:firstLine="648"/>
        <w:rPr>
          <w:rFonts w:ascii="仿宋" w:hAnsi="仿宋" w:eastAsia="仿宋"/>
          <w:sz w:val="32"/>
          <w:szCs w:val="32"/>
        </w:rPr>
      </w:pPr>
      <w:r>
        <w:rPr>
          <w:rFonts w:hint="eastAsia" w:ascii="仿宋" w:hAnsi="仿宋" w:eastAsia="仿宋"/>
          <w:sz w:val="32"/>
          <w:szCs w:val="32"/>
        </w:rPr>
        <w:t>（3）申请人主张</w:t>
      </w:r>
    </w:p>
    <w:p>
      <w:pPr>
        <w:ind w:firstLine="648"/>
        <w:rPr>
          <w:rFonts w:ascii="仿宋" w:hAnsi="仿宋" w:eastAsia="仿宋"/>
          <w:sz w:val="32"/>
          <w:szCs w:val="32"/>
        </w:rPr>
      </w:pPr>
      <w:r>
        <w:rPr>
          <w:rFonts w:hint="eastAsia" w:ascii="仿宋" w:hAnsi="仿宋" w:eastAsia="仿宋"/>
          <w:sz w:val="32"/>
          <w:szCs w:val="32"/>
        </w:rPr>
        <w:t>（4）被申请人答复意见</w:t>
      </w:r>
    </w:p>
    <w:p>
      <w:pPr>
        <w:ind w:firstLine="648"/>
        <w:rPr>
          <w:rFonts w:ascii="仿宋" w:hAnsi="仿宋" w:eastAsia="仿宋"/>
          <w:sz w:val="32"/>
          <w:szCs w:val="32"/>
        </w:rPr>
      </w:pPr>
      <w:r>
        <w:rPr>
          <w:rFonts w:hint="eastAsia" w:ascii="仿宋" w:hAnsi="仿宋" w:eastAsia="仿宋"/>
          <w:sz w:val="32"/>
          <w:szCs w:val="32"/>
        </w:rPr>
        <w:t>（5）复议决定</w:t>
      </w:r>
    </w:p>
    <w:p>
      <w:pPr>
        <w:ind w:firstLine="648"/>
        <w:rPr>
          <w:rFonts w:ascii="仿宋" w:hAnsi="仿宋" w:eastAsia="仿宋"/>
          <w:sz w:val="32"/>
          <w:szCs w:val="32"/>
        </w:rPr>
      </w:pPr>
      <w:r>
        <w:rPr>
          <w:rFonts w:hint="eastAsia" w:ascii="仿宋" w:hAnsi="仿宋" w:eastAsia="仿宋"/>
          <w:sz w:val="32"/>
          <w:szCs w:val="32"/>
        </w:rPr>
        <w:t>2.焦点问题评析</w:t>
      </w:r>
    </w:p>
    <w:p>
      <w:pPr>
        <w:ind w:firstLine="648"/>
        <w:rPr>
          <w:rFonts w:ascii="仿宋" w:hAnsi="仿宋" w:eastAsia="仿宋"/>
          <w:sz w:val="32"/>
          <w:szCs w:val="32"/>
        </w:rPr>
      </w:pPr>
      <w:r>
        <w:rPr>
          <w:rFonts w:hint="eastAsia" w:ascii="仿宋" w:hAnsi="仿宋" w:eastAsia="仿宋"/>
          <w:sz w:val="32"/>
          <w:szCs w:val="32"/>
        </w:rPr>
        <w:t>（1）案例争议焦点</w:t>
      </w:r>
    </w:p>
    <w:p>
      <w:pPr>
        <w:ind w:firstLine="648"/>
        <w:rPr>
          <w:rFonts w:ascii="仿宋" w:hAnsi="仿宋" w:eastAsia="仿宋"/>
          <w:sz w:val="32"/>
          <w:szCs w:val="32"/>
        </w:rPr>
      </w:pPr>
      <w:r>
        <w:rPr>
          <w:rFonts w:hint="eastAsia" w:ascii="仿宋" w:hAnsi="仿宋" w:eastAsia="仿宋"/>
          <w:sz w:val="32"/>
          <w:szCs w:val="32"/>
        </w:rPr>
        <w:t>（2）案例反映出来的源头执法或制度设计问题</w:t>
      </w:r>
    </w:p>
    <w:p>
      <w:pPr>
        <w:ind w:firstLine="648"/>
        <w:rPr>
          <w:rFonts w:ascii="仿宋" w:hAnsi="仿宋" w:eastAsia="仿宋"/>
          <w:sz w:val="32"/>
          <w:szCs w:val="32"/>
        </w:rPr>
      </w:pPr>
      <w:r>
        <w:rPr>
          <w:rFonts w:hint="eastAsia" w:ascii="仿宋" w:hAnsi="仿宋" w:eastAsia="仿宋"/>
          <w:sz w:val="32"/>
          <w:szCs w:val="32"/>
        </w:rPr>
        <w:t>（3）执法意见建议</w:t>
      </w:r>
    </w:p>
    <w:p>
      <w:pPr>
        <w:ind w:firstLine="648"/>
        <w:rPr>
          <w:rFonts w:ascii="楷体" w:hAnsi="楷体" w:eastAsia="楷体"/>
          <w:sz w:val="32"/>
          <w:szCs w:val="32"/>
        </w:rPr>
      </w:pPr>
      <w:r>
        <w:rPr>
          <w:rFonts w:hint="eastAsia" w:ascii="楷体" w:hAnsi="楷体" w:eastAsia="楷体"/>
          <w:sz w:val="32"/>
          <w:szCs w:val="32"/>
        </w:rPr>
        <w:t>（二）行政应诉案例。</w:t>
      </w:r>
      <w:r>
        <w:rPr>
          <w:rFonts w:hint="eastAsia" w:ascii="仿宋" w:hAnsi="仿宋" w:eastAsia="仿宋"/>
          <w:sz w:val="32"/>
          <w:szCs w:val="32"/>
        </w:rPr>
        <w:t>主要包括以下内容：</w:t>
      </w:r>
    </w:p>
    <w:p>
      <w:pPr>
        <w:ind w:firstLine="648"/>
        <w:rPr>
          <w:rFonts w:ascii="仿宋" w:hAnsi="仿宋" w:eastAsia="仿宋"/>
          <w:sz w:val="32"/>
          <w:szCs w:val="32"/>
        </w:rPr>
      </w:pPr>
      <w:r>
        <w:rPr>
          <w:rFonts w:hint="eastAsia" w:ascii="仿宋" w:hAnsi="仿宋" w:eastAsia="仿宋"/>
          <w:sz w:val="32"/>
          <w:szCs w:val="32"/>
        </w:rPr>
        <w:t>1.基本案情</w:t>
      </w:r>
    </w:p>
    <w:p>
      <w:pPr>
        <w:ind w:firstLine="648"/>
        <w:rPr>
          <w:rFonts w:ascii="仿宋" w:hAnsi="仿宋" w:eastAsia="仿宋"/>
          <w:sz w:val="32"/>
          <w:szCs w:val="32"/>
        </w:rPr>
      </w:pPr>
      <w:r>
        <w:rPr>
          <w:rFonts w:hint="eastAsia" w:ascii="仿宋" w:hAnsi="仿宋" w:eastAsia="仿宋"/>
          <w:sz w:val="32"/>
          <w:szCs w:val="32"/>
        </w:rPr>
        <w:t>（1）原、被告基本情况</w:t>
      </w:r>
    </w:p>
    <w:p>
      <w:pPr>
        <w:ind w:firstLine="648"/>
        <w:rPr>
          <w:rFonts w:ascii="仿宋" w:hAnsi="仿宋" w:eastAsia="仿宋"/>
          <w:sz w:val="32"/>
          <w:szCs w:val="32"/>
        </w:rPr>
      </w:pPr>
      <w:r>
        <w:rPr>
          <w:rFonts w:hint="eastAsia" w:ascii="仿宋" w:hAnsi="仿宋" w:eastAsia="仿宋"/>
          <w:sz w:val="32"/>
          <w:szCs w:val="32"/>
        </w:rPr>
        <w:t>（2）案由</w:t>
      </w:r>
    </w:p>
    <w:p>
      <w:pPr>
        <w:ind w:firstLine="648"/>
        <w:rPr>
          <w:rFonts w:ascii="仿宋" w:hAnsi="仿宋" w:eastAsia="仿宋"/>
          <w:sz w:val="32"/>
          <w:szCs w:val="32"/>
        </w:rPr>
      </w:pPr>
      <w:r>
        <w:rPr>
          <w:rFonts w:hint="eastAsia" w:ascii="仿宋" w:hAnsi="仿宋" w:eastAsia="仿宋"/>
          <w:sz w:val="32"/>
          <w:szCs w:val="32"/>
        </w:rPr>
        <w:t>（3）原告主张</w:t>
      </w:r>
    </w:p>
    <w:p>
      <w:pPr>
        <w:ind w:firstLine="648"/>
        <w:rPr>
          <w:rFonts w:ascii="仿宋" w:hAnsi="仿宋" w:eastAsia="仿宋"/>
          <w:sz w:val="32"/>
          <w:szCs w:val="32"/>
        </w:rPr>
      </w:pPr>
      <w:r>
        <w:rPr>
          <w:rFonts w:hint="eastAsia" w:ascii="仿宋" w:hAnsi="仿宋" w:eastAsia="仿宋"/>
          <w:sz w:val="32"/>
          <w:szCs w:val="32"/>
        </w:rPr>
        <w:t>（4）被告答辩意见</w:t>
      </w:r>
    </w:p>
    <w:p>
      <w:pPr>
        <w:ind w:firstLine="648"/>
        <w:rPr>
          <w:rFonts w:ascii="仿宋" w:hAnsi="仿宋" w:eastAsia="仿宋"/>
          <w:sz w:val="32"/>
          <w:szCs w:val="32"/>
        </w:rPr>
      </w:pPr>
      <w:r>
        <w:rPr>
          <w:rFonts w:hint="eastAsia" w:ascii="仿宋" w:hAnsi="仿宋" w:eastAsia="仿宋"/>
          <w:sz w:val="32"/>
          <w:szCs w:val="32"/>
        </w:rPr>
        <w:t>（5）裁判结果</w:t>
      </w:r>
    </w:p>
    <w:p>
      <w:pPr>
        <w:ind w:firstLine="648"/>
        <w:rPr>
          <w:rFonts w:ascii="仿宋" w:hAnsi="仿宋" w:eastAsia="仿宋"/>
          <w:sz w:val="32"/>
          <w:szCs w:val="32"/>
        </w:rPr>
      </w:pPr>
      <w:r>
        <w:rPr>
          <w:rFonts w:hint="eastAsia" w:ascii="仿宋" w:hAnsi="仿宋" w:eastAsia="仿宋"/>
          <w:sz w:val="32"/>
          <w:szCs w:val="32"/>
        </w:rPr>
        <w:t>2.焦点问题评析</w:t>
      </w:r>
    </w:p>
    <w:p>
      <w:pPr>
        <w:ind w:firstLine="648"/>
        <w:rPr>
          <w:rFonts w:ascii="仿宋" w:hAnsi="仿宋" w:eastAsia="仿宋"/>
          <w:sz w:val="32"/>
          <w:szCs w:val="32"/>
        </w:rPr>
      </w:pPr>
      <w:r>
        <w:rPr>
          <w:rFonts w:hint="eastAsia" w:ascii="仿宋" w:hAnsi="仿宋" w:eastAsia="仿宋"/>
          <w:sz w:val="32"/>
          <w:szCs w:val="32"/>
        </w:rPr>
        <w:t>（1）案例争议焦点</w:t>
      </w:r>
    </w:p>
    <w:p>
      <w:pPr>
        <w:ind w:firstLine="648"/>
        <w:rPr>
          <w:rFonts w:ascii="仿宋" w:hAnsi="仿宋" w:eastAsia="仿宋"/>
          <w:sz w:val="32"/>
          <w:szCs w:val="32"/>
        </w:rPr>
      </w:pPr>
      <w:r>
        <w:rPr>
          <w:rFonts w:hint="eastAsia" w:ascii="仿宋" w:hAnsi="仿宋" w:eastAsia="仿宋"/>
          <w:sz w:val="32"/>
          <w:szCs w:val="32"/>
        </w:rPr>
        <w:t>（2）案例反映出来的源头执法或制度设计问题</w:t>
      </w:r>
    </w:p>
    <w:p>
      <w:pPr>
        <w:ind w:firstLine="648"/>
        <w:rPr>
          <w:rFonts w:ascii="仿宋" w:hAnsi="仿宋" w:eastAsia="仿宋"/>
          <w:sz w:val="32"/>
          <w:szCs w:val="32"/>
        </w:rPr>
      </w:pPr>
      <w:r>
        <w:rPr>
          <w:rFonts w:hint="eastAsia" w:ascii="仿宋" w:hAnsi="仿宋" w:eastAsia="仿宋"/>
          <w:sz w:val="32"/>
          <w:szCs w:val="32"/>
        </w:rPr>
        <w:t>（3）执法意见建议</w:t>
      </w:r>
    </w:p>
    <w:p>
      <w:pPr>
        <w:ind w:firstLine="648"/>
        <w:rPr>
          <w:rFonts w:ascii="黑体" w:hAnsi="黑体" w:eastAsia="黑体"/>
          <w:sz w:val="32"/>
          <w:szCs w:val="32"/>
        </w:rPr>
      </w:pPr>
      <w:r>
        <w:rPr>
          <w:rFonts w:hint="eastAsia" w:ascii="黑体" w:hAnsi="黑体" w:eastAsia="黑体"/>
          <w:sz w:val="32"/>
          <w:szCs w:val="32"/>
        </w:rPr>
        <w:t>四、案例选编的组织实施</w:t>
      </w:r>
    </w:p>
    <w:p>
      <w:pPr>
        <w:ind w:firstLine="648"/>
        <w:rPr>
          <w:rFonts w:ascii="楷体" w:hAnsi="楷体" w:eastAsia="楷体"/>
          <w:sz w:val="32"/>
          <w:szCs w:val="32"/>
        </w:rPr>
      </w:pPr>
      <w:r>
        <w:rPr>
          <w:rFonts w:hint="eastAsia" w:ascii="楷体" w:hAnsi="楷体" w:eastAsia="楷体"/>
          <w:sz w:val="32"/>
          <w:szCs w:val="32"/>
        </w:rPr>
        <w:t>（一）组织领导</w:t>
      </w:r>
    </w:p>
    <w:p>
      <w:pPr>
        <w:ind w:firstLine="648"/>
        <w:rPr>
          <w:rFonts w:ascii="仿宋" w:hAnsi="仿宋" w:eastAsia="仿宋"/>
          <w:sz w:val="32"/>
          <w:szCs w:val="32"/>
        </w:rPr>
      </w:pPr>
      <w:r>
        <w:rPr>
          <w:rFonts w:hint="eastAsia" w:ascii="仿宋" w:hAnsi="仿宋" w:eastAsia="仿宋"/>
          <w:sz w:val="32"/>
          <w:szCs w:val="32"/>
        </w:rPr>
        <w:t>各省（区、市）司法厅（局）法制机构成立案例选编工作小组，并确定一名联络人员。</w:t>
      </w:r>
    </w:p>
    <w:p>
      <w:pPr>
        <w:ind w:firstLine="648"/>
        <w:rPr>
          <w:rFonts w:ascii="楷体" w:hAnsi="楷体" w:eastAsia="楷体"/>
          <w:sz w:val="32"/>
          <w:szCs w:val="32"/>
        </w:rPr>
      </w:pPr>
      <w:r>
        <w:rPr>
          <w:rFonts w:hint="eastAsia" w:ascii="楷体" w:hAnsi="楷体" w:eastAsia="楷体"/>
          <w:sz w:val="32"/>
          <w:szCs w:val="32"/>
        </w:rPr>
        <w:t>（二）案例的筛选、审核</w:t>
      </w:r>
    </w:p>
    <w:p>
      <w:pPr>
        <w:ind w:firstLine="648"/>
        <w:rPr>
          <w:rFonts w:ascii="仿宋" w:hAnsi="仿宋" w:eastAsia="仿宋"/>
          <w:sz w:val="32"/>
          <w:szCs w:val="32"/>
        </w:rPr>
      </w:pPr>
      <w:r>
        <w:rPr>
          <w:rFonts w:hint="eastAsia" w:ascii="仿宋" w:hAnsi="仿宋" w:eastAsia="仿宋"/>
          <w:sz w:val="32"/>
          <w:szCs w:val="32"/>
        </w:rPr>
        <w:t>各省（区、市）司法厅（局）法制机构负责对本辖区内典型案例的筛选、审核、上报工作。各地报送的案例，司法部法制司认为有必要进一步研究的，可以征求相关专家、部法律顾问、公职律师的意见。</w:t>
      </w:r>
    </w:p>
    <w:p>
      <w:pPr>
        <w:ind w:firstLine="648"/>
        <w:rPr>
          <w:rFonts w:ascii="楷体" w:hAnsi="楷体" w:eastAsia="楷体"/>
          <w:sz w:val="32"/>
          <w:szCs w:val="32"/>
        </w:rPr>
      </w:pPr>
      <w:r>
        <w:rPr>
          <w:rFonts w:hint="eastAsia" w:ascii="楷体" w:hAnsi="楷体" w:eastAsia="楷体"/>
          <w:sz w:val="32"/>
          <w:szCs w:val="32"/>
        </w:rPr>
        <w:t>（三）案例的报送</w:t>
      </w:r>
    </w:p>
    <w:p>
      <w:pPr>
        <w:ind w:firstLine="648"/>
        <w:rPr>
          <w:rFonts w:ascii="仿宋" w:hAnsi="仿宋" w:eastAsia="仿宋"/>
          <w:sz w:val="32"/>
          <w:szCs w:val="32"/>
        </w:rPr>
      </w:pPr>
      <w:r>
        <w:rPr>
          <w:rFonts w:hint="eastAsia" w:ascii="仿宋" w:hAnsi="仿宋" w:eastAsia="仿宋"/>
          <w:sz w:val="32"/>
          <w:szCs w:val="32"/>
        </w:rPr>
        <w:t>各省（区、市）司法厅（局）法制机构每月20日前按照上述要求通过电子邮件方式（sifabufazhisi@163.com）报送部法制司。</w:t>
      </w:r>
    </w:p>
    <w:p>
      <w:pPr>
        <w:rPr>
          <w:rFonts w:cs="Calibri"/>
          <w:szCs w:val="21"/>
        </w:rPr>
      </w:pPr>
    </w:p>
    <w:p>
      <w:pPr>
        <w:rPr>
          <w:rFonts w:cs="Calibri"/>
          <w:szCs w:val="21"/>
        </w:rPr>
      </w:pPr>
    </w:p>
    <w:p>
      <w:pPr>
        <w:rPr>
          <w:rFonts w:cs="Calibri"/>
          <w:szCs w:val="21"/>
        </w:rPr>
      </w:pPr>
    </w:p>
    <w:p>
      <w:pPr>
        <w:ind w:firstLine="640" w:firstLineChars="200"/>
        <w:rPr>
          <w:rFonts w:ascii="仿宋" w:hAnsi="仿宋" w:eastAsia="仿宋"/>
          <w:sz w:val="32"/>
          <w:szCs w:val="32"/>
        </w:rPr>
      </w:pPr>
    </w:p>
    <w:p>
      <w:pPr>
        <w:spacing w:line="600" w:lineRule="atLeast"/>
        <w:ind w:firstLine="640" w:firstLineChars="200"/>
        <w:rPr>
          <w:rFonts w:ascii="仿宋" w:hAnsi="仿宋" w:eastAsia="仿宋" w:cs="仿宋"/>
          <w:sz w:val="32"/>
          <w:szCs w:val="32"/>
        </w:rPr>
      </w:pPr>
    </w:p>
    <w:sectPr>
      <w:footerReference r:id="rId3" w:type="default"/>
      <w:footerReference r:id="rId4" w:type="even"/>
      <w:pgSz w:w="11906" w:h="16838"/>
      <w:pgMar w:top="1440"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DC341"/>
    <w:multiLevelType w:val="singleLevel"/>
    <w:tmpl w:val="596DC341"/>
    <w:lvl w:ilvl="0" w:tentative="0">
      <w:start w:val="2"/>
      <w:numFmt w:val="chineseCounting"/>
      <w:suff w:val="nothing"/>
      <w:lvlText w:val="（%1）"/>
      <w:lvlJc w:val="left"/>
    </w:lvl>
  </w:abstractNum>
  <w:abstractNum w:abstractNumId="1">
    <w:nsid w:val="599ED65A"/>
    <w:multiLevelType w:val="singleLevel"/>
    <w:tmpl w:val="599ED65A"/>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4401"/>
    <w:rsid w:val="00002424"/>
    <w:rsid w:val="000213DA"/>
    <w:rsid w:val="00051F43"/>
    <w:rsid w:val="0005247A"/>
    <w:rsid w:val="00090AE6"/>
    <w:rsid w:val="000A58FF"/>
    <w:rsid w:val="000B2C69"/>
    <w:rsid w:val="000C48DF"/>
    <w:rsid w:val="000C6E3E"/>
    <w:rsid w:val="000D7C43"/>
    <w:rsid w:val="001055EB"/>
    <w:rsid w:val="001100F8"/>
    <w:rsid w:val="00123531"/>
    <w:rsid w:val="00132515"/>
    <w:rsid w:val="00154401"/>
    <w:rsid w:val="00163563"/>
    <w:rsid w:val="0017050A"/>
    <w:rsid w:val="001C0C4B"/>
    <w:rsid w:val="001C4413"/>
    <w:rsid w:val="001E02DC"/>
    <w:rsid w:val="001E75CC"/>
    <w:rsid w:val="002142DB"/>
    <w:rsid w:val="00216C7B"/>
    <w:rsid w:val="00232DF2"/>
    <w:rsid w:val="00270868"/>
    <w:rsid w:val="002727A8"/>
    <w:rsid w:val="00274324"/>
    <w:rsid w:val="0028225E"/>
    <w:rsid w:val="00283754"/>
    <w:rsid w:val="002A332E"/>
    <w:rsid w:val="002D1424"/>
    <w:rsid w:val="002E439C"/>
    <w:rsid w:val="0033079B"/>
    <w:rsid w:val="003409B0"/>
    <w:rsid w:val="00356C49"/>
    <w:rsid w:val="00371678"/>
    <w:rsid w:val="00387705"/>
    <w:rsid w:val="003924FC"/>
    <w:rsid w:val="003C6C9F"/>
    <w:rsid w:val="003D7ED1"/>
    <w:rsid w:val="00413E7A"/>
    <w:rsid w:val="00425C6B"/>
    <w:rsid w:val="00430737"/>
    <w:rsid w:val="0043091F"/>
    <w:rsid w:val="00481F74"/>
    <w:rsid w:val="004868A2"/>
    <w:rsid w:val="0049496C"/>
    <w:rsid w:val="00497A81"/>
    <w:rsid w:val="004D6B04"/>
    <w:rsid w:val="004E42D2"/>
    <w:rsid w:val="00507016"/>
    <w:rsid w:val="00545961"/>
    <w:rsid w:val="00574A9B"/>
    <w:rsid w:val="005755D9"/>
    <w:rsid w:val="00581470"/>
    <w:rsid w:val="005B6F9A"/>
    <w:rsid w:val="005D3935"/>
    <w:rsid w:val="005E0085"/>
    <w:rsid w:val="00601BC3"/>
    <w:rsid w:val="00624AE4"/>
    <w:rsid w:val="006423F4"/>
    <w:rsid w:val="00655AB1"/>
    <w:rsid w:val="006755B6"/>
    <w:rsid w:val="00684FA7"/>
    <w:rsid w:val="00685EBF"/>
    <w:rsid w:val="006A3C9D"/>
    <w:rsid w:val="006A75EC"/>
    <w:rsid w:val="006B0833"/>
    <w:rsid w:val="006C3703"/>
    <w:rsid w:val="006D2B38"/>
    <w:rsid w:val="00702C01"/>
    <w:rsid w:val="00730FF7"/>
    <w:rsid w:val="00770572"/>
    <w:rsid w:val="00793D4F"/>
    <w:rsid w:val="007B533B"/>
    <w:rsid w:val="00802872"/>
    <w:rsid w:val="0081481D"/>
    <w:rsid w:val="00821F1A"/>
    <w:rsid w:val="00845FCF"/>
    <w:rsid w:val="00865720"/>
    <w:rsid w:val="008712F3"/>
    <w:rsid w:val="008A5ECA"/>
    <w:rsid w:val="008C20A3"/>
    <w:rsid w:val="008D00A3"/>
    <w:rsid w:val="008F3084"/>
    <w:rsid w:val="00924473"/>
    <w:rsid w:val="00936BA8"/>
    <w:rsid w:val="00937712"/>
    <w:rsid w:val="00957EDA"/>
    <w:rsid w:val="009709DC"/>
    <w:rsid w:val="00994429"/>
    <w:rsid w:val="009E6D33"/>
    <w:rsid w:val="009F154C"/>
    <w:rsid w:val="009F5358"/>
    <w:rsid w:val="009F7BE7"/>
    <w:rsid w:val="00A3256F"/>
    <w:rsid w:val="00A328B0"/>
    <w:rsid w:val="00A42D83"/>
    <w:rsid w:val="00A63FA4"/>
    <w:rsid w:val="00A67AF7"/>
    <w:rsid w:val="00A758A2"/>
    <w:rsid w:val="00A83B09"/>
    <w:rsid w:val="00A960E5"/>
    <w:rsid w:val="00AB7006"/>
    <w:rsid w:val="00AD42B6"/>
    <w:rsid w:val="00AD6F51"/>
    <w:rsid w:val="00B53363"/>
    <w:rsid w:val="00B865A8"/>
    <w:rsid w:val="00BB3579"/>
    <w:rsid w:val="00BE0CD2"/>
    <w:rsid w:val="00C11FDB"/>
    <w:rsid w:val="00C66351"/>
    <w:rsid w:val="00C72978"/>
    <w:rsid w:val="00C845B8"/>
    <w:rsid w:val="00CD2E46"/>
    <w:rsid w:val="00D2226E"/>
    <w:rsid w:val="00D71ECD"/>
    <w:rsid w:val="00D72A9E"/>
    <w:rsid w:val="00D755A3"/>
    <w:rsid w:val="00D75F5B"/>
    <w:rsid w:val="00D92BB4"/>
    <w:rsid w:val="00DB0A8D"/>
    <w:rsid w:val="00DB1C42"/>
    <w:rsid w:val="00DD46BE"/>
    <w:rsid w:val="00E142F0"/>
    <w:rsid w:val="00E16010"/>
    <w:rsid w:val="00E21FA3"/>
    <w:rsid w:val="00E41A0D"/>
    <w:rsid w:val="00E45844"/>
    <w:rsid w:val="00E46248"/>
    <w:rsid w:val="00E60035"/>
    <w:rsid w:val="00EA1EDF"/>
    <w:rsid w:val="00EB252D"/>
    <w:rsid w:val="00EB3145"/>
    <w:rsid w:val="00EB7CDF"/>
    <w:rsid w:val="00EE5473"/>
    <w:rsid w:val="00F171E1"/>
    <w:rsid w:val="00F441C9"/>
    <w:rsid w:val="00F930E2"/>
    <w:rsid w:val="00F97693"/>
    <w:rsid w:val="00FC4E3E"/>
    <w:rsid w:val="123A08F5"/>
    <w:rsid w:val="427E5A24"/>
    <w:rsid w:val="4B38160B"/>
    <w:rsid w:val="6D3E28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link w:val="18"/>
    <w:unhideWhenUsed/>
    <w:qFormat/>
    <w:uiPriority w:val="39"/>
  </w:style>
  <w:style w:type="character" w:styleId="8">
    <w:name w:val="page number"/>
    <w:basedOn w:val="7"/>
    <w:qFormat/>
    <w:uiPriority w:val="0"/>
  </w:style>
  <w:style w:type="character" w:styleId="9">
    <w:name w:val="Hyperlink"/>
    <w:basedOn w:val="7"/>
    <w:unhideWhenUsed/>
    <w:qFormat/>
    <w:uiPriority w:val="99"/>
    <w:rPr>
      <w:rFonts w:eastAsia="仿宋_GB2312"/>
      <w:color w:val="0000FF" w:themeColor="hyperlink"/>
      <w:sz w:val="32"/>
      <w:u w:val="single"/>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paragraph" w:customStyle="1" w:styleId="13">
    <w:name w:val="列出段落1"/>
    <w:basedOn w:val="1"/>
    <w:qFormat/>
    <w:uiPriority w:val="34"/>
    <w:pPr>
      <w:ind w:firstLine="420" w:firstLineChars="200"/>
    </w:pPr>
    <w:rPr>
      <w:rFonts w:ascii="Calibri" w:hAnsi="Calibri"/>
      <w:szCs w:val="20"/>
    </w:rPr>
  </w:style>
  <w:style w:type="character" w:customStyle="1" w:styleId="14">
    <w:name w:val="批注框文本 Char"/>
    <w:basedOn w:val="7"/>
    <w:link w:val="3"/>
    <w:semiHidden/>
    <w:qFormat/>
    <w:uiPriority w:val="99"/>
    <w:rPr>
      <w:rFonts w:ascii="Times New Roman" w:hAnsi="Times New Roman" w:eastAsia="宋体" w:cs="Times New Roman"/>
      <w:sz w:val="18"/>
      <w:szCs w:val="18"/>
    </w:rPr>
  </w:style>
  <w:style w:type="character" w:customStyle="1" w:styleId="15">
    <w:name w:val="标题 1 Char"/>
    <w:basedOn w:val="7"/>
    <w:link w:val="2"/>
    <w:qFormat/>
    <w:uiPriority w:val="9"/>
    <w:rPr>
      <w:rFonts w:ascii="Times New Roman" w:hAnsi="Times New Roman" w:eastAsia="宋体" w:cs="Times New Roman"/>
      <w:b/>
      <w:bCs/>
      <w:kern w:val="44"/>
      <w:sz w:val="44"/>
      <w:szCs w:val="44"/>
    </w:rPr>
  </w:style>
  <w:style w:type="paragraph" w:customStyle="1" w:styleId="1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7">
    <w:name w:val="样式1"/>
    <w:basedOn w:val="6"/>
    <w:link w:val="19"/>
    <w:qFormat/>
    <w:uiPriority w:val="0"/>
    <w:pPr>
      <w:tabs>
        <w:tab w:val="right" w:leader="dot" w:pos="8296"/>
      </w:tabs>
    </w:pPr>
    <w:rPr>
      <w:rFonts w:eastAsia="仿宋_GB2312"/>
      <w:sz w:val="32"/>
    </w:rPr>
  </w:style>
  <w:style w:type="character" w:customStyle="1" w:styleId="18">
    <w:name w:val="目录 1 Char"/>
    <w:basedOn w:val="7"/>
    <w:link w:val="6"/>
    <w:qFormat/>
    <w:uiPriority w:val="39"/>
    <w:rPr>
      <w:rFonts w:ascii="Times New Roman" w:hAnsi="Times New Roman" w:eastAsia="宋体" w:cs="Times New Roman"/>
      <w:szCs w:val="24"/>
    </w:rPr>
  </w:style>
  <w:style w:type="character" w:customStyle="1" w:styleId="19">
    <w:name w:val="样式1 Char"/>
    <w:basedOn w:val="18"/>
    <w:link w:val="17"/>
    <w:qFormat/>
    <w:uiPriority w:val="0"/>
    <w:rPr>
      <w:rFonts w:ascii="Times New Roman" w:hAnsi="Times New Roman" w:eastAsia="仿宋_GB2312" w:cs="Times New Roman"/>
      <w:sz w:val="32"/>
      <w:szCs w:val="24"/>
    </w:rPr>
  </w:style>
  <w:style w:type="paragraph" w:customStyle="1" w:styleId="20">
    <w:name w:val="列出段落2"/>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A4659-CC91-4F61-9DBB-37788492951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38</Pages>
  <Words>2303</Words>
  <Characters>13128</Characters>
  <Lines>109</Lines>
  <Paragraphs>30</Paragraphs>
  <TotalTime>0</TotalTime>
  <ScaleCrop>false</ScaleCrop>
  <LinksUpToDate>false</LinksUpToDate>
  <CharactersWithSpaces>15401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2017-07-27T01:00:00Z</dcterms:created>
  <dc:creator>bukaiming</dc:creator>
  <cp:lastModifiedBy>Administrator</cp:lastModifiedBy>
  <cp:lastPrinted>2017-09-05T00:59:00Z</cp:lastPrinted>
  <dcterms:modified xsi:type="dcterms:W3CDTF">2017-09-21T08:05:03Z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