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广西执业律师《&lt;民法总则&gt;解读》、《律师职业道德》学习流程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一、</w:t>
      </w:r>
      <w:r>
        <w:rPr>
          <w:rFonts w:hint="eastAsia"/>
          <w:b/>
          <w:bCs/>
        </w:rPr>
        <w:t>PC端操作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账号密码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用户为</w:t>
      </w:r>
      <w:r>
        <w:rPr>
          <w:rFonts w:hint="eastAsia"/>
          <w:b/>
          <w:bCs/>
        </w:rPr>
        <w:t>执业证号后六位或手机号、听课初始密码</w:t>
      </w:r>
      <w:r>
        <w:rPr>
          <w:rFonts w:hint="eastAsia"/>
          <w:b/>
          <w:bCs/>
          <w:lang w:val="en-US" w:eastAsia="zh-CN"/>
        </w:rPr>
        <w:t>为</w:t>
      </w:r>
      <w:r>
        <w:rPr>
          <w:rFonts w:hint="eastAsia"/>
          <w:b/>
          <w:bCs/>
        </w:rPr>
        <w:t xml:space="preserve">12345678 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请登录后及时修改密码，以防他人冒用</w:t>
      </w:r>
      <w:r>
        <w:rPr>
          <w:rFonts w:hint="eastAsia"/>
          <w:lang w:val="en-US" w:eastAsia="zh-CN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登录</w:t>
      </w:r>
      <w:r>
        <w:rPr>
          <w:rFonts w:hint="eastAsia"/>
          <w:b/>
          <w:bCs/>
          <w:lang w:val="en-US" w:eastAsia="zh-CN"/>
        </w:rPr>
        <w:t>平台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eastAsia="zh-CN"/>
        </w:rPr>
        <w:t>律协</w:t>
      </w:r>
      <w:r>
        <w:rPr>
          <w:rFonts w:hint="eastAsia"/>
          <w:b/>
          <w:bCs/>
        </w:rPr>
        <w:t>官网登录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打开浏览器，输入区律协官网www.g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lawyer.com，在网站上方点击</w:t>
      </w:r>
      <w:r>
        <w:rPr>
          <w:rFonts w:hint="eastAsia"/>
          <w:b/>
          <w:bCs/>
          <w:color w:val="FF0000"/>
          <w:u w:val="single"/>
        </w:rPr>
        <w:t>“培训信息”</w:t>
      </w:r>
      <w:r>
        <w:rPr>
          <w:rFonts w:hint="eastAsia"/>
        </w:rPr>
        <w:t>，找到</w:t>
      </w:r>
      <w:r>
        <w:rPr>
          <w:rFonts w:hint="eastAsia"/>
          <w:b/>
          <w:bCs/>
          <w:color w:val="FF0000"/>
          <w:u w:val="single"/>
        </w:rPr>
        <w:t>“广西律师网校”</w:t>
      </w:r>
      <w:r>
        <w:rPr>
          <w:rFonts w:hint="eastAsia"/>
        </w:rPr>
        <w:t>，点击</w:t>
      </w:r>
      <w:r>
        <w:rPr>
          <w:rFonts w:hint="eastAsia"/>
          <w:lang w:val="en-US" w:eastAsia="zh-CN"/>
        </w:rPr>
        <w:t>右上角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val="en-US" w:eastAsia="zh-CN"/>
        </w:rPr>
        <w:t>点睛官网登录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打开浏览器，输入点睛网官网www.dianjingyun.com，选择</w:t>
      </w:r>
      <w:r>
        <w:rPr>
          <w:rFonts w:hint="eastAsia"/>
          <w:b/>
          <w:bCs/>
          <w:color w:val="FF0000"/>
          <w:u w:val="single"/>
        </w:rPr>
        <w:t>“律师学院”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右上角点击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，输入账号密码登录平台。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在线</w:t>
      </w:r>
      <w:r>
        <w:rPr>
          <w:rFonts w:hint="eastAsia"/>
          <w:b/>
          <w:bCs/>
          <w:lang w:val="en-US" w:eastAsia="zh-CN"/>
        </w:rPr>
        <w:t>听课</w:t>
      </w:r>
    </w:p>
    <w:p>
      <w:pPr>
        <w:rPr>
          <w:rFonts w:hint="eastAsia"/>
        </w:rPr>
      </w:pPr>
      <w:r>
        <w:rPr>
          <w:rFonts w:hint="eastAsia"/>
        </w:rPr>
        <w:t xml:space="preserve">     学员登录</w:t>
      </w:r>
      <w:r>
        <w:rPr>
          <w:rFonts w:hint="eastAsia"/>
          <w:lang w:val="en-US" w:eastAsia="zh-CN"/>
        </w:rPr>
        <w:t>到个人中心</w:t>
      </w:r>
      <w:r>
        <w:rPr>
          <w:rFonts w:hint="eastAsia"/>
        </w:rPr>
        <w:t>，点击网站左侧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专业教室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在专业栏目中选择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《民法总则解读》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，再点击课程之后的</w:t>
      </w:r>
      <w:r>
        <w:rPr>
          <w:rFonts w:hint="eastAsia"/>
          <w:b/>
          <w:bCs/>
          <w:color w:val="FF0000"/>
          <w:u w:val="single"/>
          <w:lang w:val="en-US" w:eastAsia="zh-CN"/>
        </w:rPr>
        <w:t>“课件”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“播放”</w:t>
      </w:r>
      <w:r>
        <w:rPr>
          <w:rFonts w:hint="eastAsia"/>
        </w:rPr>
        <w:t>。课程播放时长过半或20分钟后，系统提示需要考试合格方可继续学习。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4. </w:t>
      </w:r>
      <w:r>
        <w:rPr>
          <w:rFonts w:hint="eastAsia"/>
          <w:b/>
          <w:bCs/>
        </w:rPr>
        <w:t>查看进度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烦开通课程学习进度达到100%，说明本专题课程学习合格。专题课程打印结业证功能还未上线，预计将于11月底上线，届时将短信通知大家上网打印。</w:t>
      </w: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打印流程：</w:t>
      </w:r>
      <w:r>
        <w:rPr>
          <w:rFonts w:hint="eastAsia"/>
        </w:rPr>
        <w:t>进入到听课中心页面，点击网页左侧</w:t>
      </w:r>
      <w:r>
        <w:rPr>
          <w:rFonts w:hint="eastAsia"/>
          <w:b/>
          <w:bCs/>
          <w:color w:val="FF0000"/>
          <w:u w:val="single"/>
          <w:lang w:val="en-US" w:eastAsia="zh-CN"/>
        </w:rPr>
        <w:t>“进度统计”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选择</w:t>
      </w:r>
      <w:r>
        <w:rPr>
          <w:rFonts w:hint="eastAsia"/>
          <w:b/>
          <w:bCs/>
          <w:color w:val="FF0000"/>
          <w:u w:val="single"/>
          <w:lang w:val="en-US" w:eastAsia="zh-CN"/>
        </w:rPr>
        <w:t>“专业课程进度统计”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“打证书”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开通课程进度未达到100%时，仅可查看明细，无法打印证书。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二、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APP端操作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 xml:space="preserve">     1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下载安装</w:t>
      </w:r>
      <w:r>
        <w:rPr>
          <w:rFonts w:hint="eastAsia"/>
          <w:b/>
          <w:bCs/>
          <w:lang w:eastAsia="zh-CN"/>
        </w:rPr>
        <w:t>（请扫描</w:t>
      </w:r>
      <w:r>
        <w:rPr>
          <w:rFonts w:hint="eastAsia"/>
          <w:b/>
          <w:bCs/>
          <w:lang w:val="en-US" w:eastAsia="zh-CN"/>
        </w:rPr>
        <w:t>下</w:t>
      </w:r>
      <w:r>
        <w:rPr>
          <w:rFonts w:hint="eastAsia"/>
          <w:b/>
          <w:bCs/>
          <w:lang w:eastAsia="zh-CN"/>
        </w:rPr>
        <w:t>方二维码下载安装APP）</w:t>
      </w:r>
    </w:p>
    <w:p>
      <w:pPr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drawing>
          <wp:inline distT="0" distB="0" distL="114300" distR="114300">
            <wp:extent cx="1715770" cy="1715770"/>
            <wp:effectExtent l="0" t="0" r="1143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登录账号</w:t>
      </w:r>
    </w:p>
    <w:p>
      <w:pPr>
        <w:rPr>
          <w:rFonts w:hint="eastAsia"/>
        </w:rPr>
      </w:pPr>
      <w:r>
        <w:rPr>
          <w:rFonts w:hint="eastAsia"/>
        </w:rPr>
        <w:t xml:space="preserve">     学员在手机、平板电脑桌面查找</w:t>
      </w:r>
      <w:r>
        <w:rPr>
          <w:rFonts w:hint="eastAsia"/>
          <w:b/>
          <w:bCs/>
          <w:color w:val="FF0000"/>
          <w:u w:val="single"/>
          <w:lang w:val="en-US" w:eastAsia="zh-CN"/>
        </w:rPr>
        <w:t>“点睛网”</w:t>
      </w:r>
      <w:r>
        <w:rPr>
          <w:rFonts w:hint="eastAsia"/>
        </w:rPr>
        <w:t>图标，请双击图标，选择</w:t>
      </w:r>
      <w:r>
        <w:rPr>
          <w:rFonts w:hint="eastAsia"/>
          <w:b/>
          <w:bCs/>
          <w:color w:val="FF0000"/>
          <w:u w:val="single"/>
          <w:lang w:val="en-US" w:eastAsia="zh-CN"/>
        </w:rPr>
        <w:t>“律师”</w:t>
      </w:r>
      <w:r>
        <w:rPr>
          <w:rFonts w:hint="eastAsia"/>
          <w:lang w:val="en-US" w:eastAsia="zh-CN"/>
        </w:rPr>
        <w:t>身份，</w:t>
      </w:r>
      <w:r>
        <w:rPr>
          <w:rFonts w:hint="eastAsia"/>
        </w:rPr>
        <w:t>请点</w:t>
      </w:r>
      <w:r>
        <w:rPr>
          <w:rFonts w:hint="eastAsia"/>
          <w:lang w:val="en-US" w:eastAsia="zh-CN"/>
        </w:rPr>
        <w:t>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，输入账号密码，点击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“登录”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3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在线听课</w:t>
      </w:r>
    </w:p>
    <w:p>
      <w:pPr>
        <w:rPr>
          <w:rFonts w:hint="eastAsia"/>
        </w:rPr>
      </w:pPr>
      <w:r>
        <w:rPr>
          <w:rFonts w:hint="eastAsia"/>
        </w:rPr>
        <w:t xml:space="preserve">     点击APP下方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，再</w:t>
      </w:r>
      <w:r>
        <w:rPr>
          <w:rFonts w:hint="eastAsia"/>
          <w:lang w:val="en-US" w:eastAsia="zh-CN"/>
        </w:rPr>
        <w:t>点击左上角</w:t>
      </w:r>
      <w:r>
        <w:rPr>
          <w:rFonts w:hint="eastAsia"/>
          <w:b/>
          <w:bCs/>
          <w:color w:val="FF0000"/>
          <w:u w:val="single"/>
          <w:lang w:val="en-US" w:eastAsia="zh-CN"/>
        </w:rPr>
        <w:t>“三横线”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找到下方</w:t>
      </w:r>
      <w:r>
        <w:rPr>
          <w:rFonts w:hint="eastAsia"/>
          <w:b/>
          <w:bCs/>
          <w:lang w:val="en-US" w:eastAsia="zh-CN"/>
        </w:rPr>
        <w:t>我的专业中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《民法总则解读》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点击课程名称，开始学习。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val="en-US" w:eastAsia="zh-CN"/>
        </w:rPr>
        <w:t xml:space="preserve">4. </w:t>
      </w:r>
      <w:r>
        <w:rPr>
          <w:rFonts w:hint="eastAsia"/>
          <w:b/>
          <w:bCs/>
        </w:rPr>
        <w:t>进度</w:t>
      </w:r>
      <w:r>
        <w:rPr>
          <w:rFonts w:hint="eastAsia"/>
          <w:b/>
          <w:bCs/>
          <w:lang w:val="en-US" w:eastAsia="zh-CN"/>
        </w:rPr>
        <w:t>统计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APP端的进度统计中目前无法查看专业课程学习进度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开通课程学习进度达到100%，说明本专题课程学习合格。专题课程打印结业证功能还未上线，预计将于11月底上线，届时将短信通知大家上网打印。</w:t>
      </w:r>
      <w:r>
        <w:rPr>
          <w:rFonts w:hint="eastAsia"/>
          <w:b/>
          <w:bCs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、点睛联系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联系人：袁老师、李老师、史老师、邱老师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电话：</w:t>
      </w:r>
      <w:r>
        <w:rPr>
          <w:rFonts w:hint="default" w:ascii="Calibri" w:hAnsi="Calibri" w:eastAsia="宋体" w:cs="Calibri"/>
          <w:sz w:val="21"/>
          <w:szCs w:val="21"/>
        </w:rPr>
        <w:t>010-62210155</w:t>
      </w:r>
      <w:r>
        <w:rPr>
          <w:rFonts w:hint="eastAsia" w:ascii="宋体" w:hAnsi="宋体" w:eastAsia="宋体" w:cs="宋体"/>
          <w:sz w:val="21"/>
          <w:szCs w:val="21"/>
        </w:rPr>
        <w:t>、18610718109（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同</w:t>
      </w:r>
      <w:r>
        <w:rPr>
          <w:rFonts w:hint="eastAsia" w:ascii="宋体" w:hAnsi="宋体" w:eastAsia="宋体" w:cs="宋体"/>
          <w:sz w:val="21"/>
          <w:szCs w:val="21"/>
        </w:rPr>
        <w:t>微信）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客服</w:t>
      </w:r>
      <w:r>
        <w:rPr>
          <w:rFonts w:hint="default" w:ascii="Calibri" w:hAnsi="Calibri" w:eastAsia="宋体" w:cs="Calibri"/>
          <w:sz w:val="21"/>
          <w:szCs w:val="21"/>
        </w:rPr>
        <w:t>QQ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default" w:ascii="Calibri" w:hAnsi="Calibri" w:eastAsia="宋体" w:cs="Calibri"/>
          <w:sz w:val="21"/>
          <w:szCs w:val="21"/>
        </w:rPr>
        <w:t>1140226423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客服</w:t>
      </w:r>
      <w:r>
        <w:rPr>
          <w:rFonts w:hint="default" w:ascii="Calibri" w:hAnsi="Calibri" w:eastAsia="宋体" w:cs="Calibri"/>
          <w:sz w:val="21"/>
          <w:szCs w:val="21"/>
        </w:rPr>
        <w:t>QQ</w:t>
      </w:r>
      <w:r>
        <w:rPr>
          <w:rFonts w:hint="eastAsia" w:ascii="宋体" w:hAnsi="宋体" w:eastAsia="宋体" w:cs="宋体"/>
          <w:sz w:val="21"/>
          <w:szCs w:val="21"/>
        </w:rPr>
        <w:t>群：</w:t>
      </w:r>
      <w:r>
        <w:rPr>
          <w:rFonts w:hint="default" w:ascii="Calibri" w:hAnsi="Calibri" w:eastAsia="宋体" w:cs="Calibri"/>
          <w:sz w:val="21"/>
          <w:szCs w:val="21"/>
        </w:rPr>
        <w:t>120365052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Calibri" w:hAnsi="Calibri" w:eastAsia="宋体" w:cs="Calibri"/>
          <w:sz w:val="21"/>
          <w:szCs w:val="21"/>
        </w:rPr>
        <w:t>257748158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  <w:jc w:val="left"/>
      <w:rPr>
        <w:rFonts w:hint="eastAsia" w:ascii="楷体" w:hAnsi="楷体" w:eastAsia="楷体" w:cs="楷体"/>
        <w:kern w:val="0"/>
        <w:lang w:val="en-US" w:eastAsia="zh-CN"/>
      </w:rPr>
    </w:pP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2531745</wp:posOffset>
              </wp:positionH>
              <wp:positionV relativeFrom="paragraph">
                <wp:posOffset>24130</wp:posOffset>
              </wp:positionV>
              <wp:extent cx="1028700" cy="99060"/>
              <wp:effectExtent l="4445" t="4445" r="8255" b="10795"/>
              <wp:wrapNone/>
              <wp:docPr id="6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906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 w="9525" cap="flat" cmpd="sng">
                        <a:solidFill>
                          <a:srgbClr val="3366CC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99.35pt;margin-top:1.9pt;height:7.8pt;width:81pt;z-index:251662336;mso-width-relative:page;mso-height-relative:page;" fillcolor="#3366CC" filled="t" stroked="t" coordsize="21600,21600" o:gfxdata="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zTh91wAAAAgBAAAP&#10;AAAAAAAAAAEAIAAAACIAAABkcnMvZG93bnJldi54bWxQSwECFAAUAAAACACHTuJAlu0i0+ABAADP&#10;AwAADgAAAAAAAAABACAAAAAmAQAAZHJzL2Uyb0RvYy54bWxQSwUGAAAAAAYABgBZAQAAeAUAAAAA&#10;">
              <v:fill on="t" focussize="0,0"/>
              <v:stroke color="#3366CC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2525395</wp:posOffset>
              </wp:positionH>
              <wp:positionV relativeFrom="paragraph">
                <wp:posOffset>17780</wp:posOffset>
              </wp:positionV>
              <wp:extent cx="2743200" cy="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3366C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x;margin-left:198.85pt;margin-top:1.4pt;height:0pt;width:216pt;z-index:251663360;mso-width-relative:page;mso-height-relative:page;" filled="f" stroked="t" coordsize="21600,21600" o:gfxdata="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SQ9U0gAAAAcBAAAPAAAAAAAAAAEAIAAA&#10;ACIAAABkcnMvZG93bnJldi54bWxQSwECFAAUAAAACACHTuJApmXI6NkBAACYAwAADgAAAAAAAAAB&#10;ACAAAAAhAQAAZHJzL2Uyb0RvYy54bWxQSwUGAAAAAAYABgBZAQAAbAUAAAAA&#10;">
              <v:fill on="f" focussize="0,0"/>
              <v:stroke weight="2.25pt" color="#3366CC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5233670</wp:posOffset>
              </wp:positionH>
              <wp:positionV relativeFrom="paragraph">
                <wp:posOffset>-107315</wp:posOffset>
              </wp:positionV>
              <wp:extent cx="190500" cy="21971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2.1pt;margin-top:-8.45pt;height:17.3pt;width:15pt;mso-position-horizontal-relative:margin;z-index:251670528;mso-width-relative:page;mso-height-relative:page;" filled="f" stroked="f" coordsize="21600,21600" o:gfxdata="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Vj24tkAAAAKAQAA&#10;DwAAAAAAAAABACAAAAAiAAAAZHJzL2Rvd25yZXYueG1sUEsBAhQAFAAAAAgAh07iQBTt062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5163185</wp:posOffset>
              </wp:positionH>
              <wp:positionV relativeFrom="paragraph">
                <wp:posOffset>-75565</wp:posOffset>
              </wp:positionV>
              <wp:extent cx="1828800" cy="762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6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55pt;margin-top:-5.95pt;height:6pt;width:144pt;mso-position-horizontal-relative:margin;mso-wrap-style:none;z-index:251661312;mso-width-relative:page;mso-height-relative:page;" filled="f" stroked="f" coordsize="21600,21600" o:gfxdata="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IJX7bVAAAA&#10;CQEAAA8AAAAAAAAAAQAgAAAAIgAAAGRycy9kb3ducmV2LnhtbFBLAQIUABQAAAAIAIdO4kB5biGk&#10;rgEAADkDAAAOAAAAAAAAAAEAIAAAACQ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楷体" w:hAnsi="楷体" w:eastAsia="楷体" w:cs="楷体"/>
        <w:kern w:val="0"/>
        <w:lang w:val="en-US" w:eastAsia="zh-CN"/>
      </w:rPr>
      <w:t>010-</w:t>
    </w:r>
    <w:r>
      <w:rPr>
        <w:rFonts w:hint="eastAsia"/>
      </w:rPr>
      <w:t>52129055</w:t>
    </w:r>
    <w:r>
      <w:rPr>
        <w:rFonts w:hint="eastAsia" w:ascii="楷体" w:hAnsi="楷体" w:eastAsia="楷体" w:cs="楷体"/>
        <w:kern w:val="0"/>
        <w:lang w:val="en-US" w:eastAsia="zh-CN"/>
      </w:rPr>
      <w:t>、18610718109</w:t>
    </w:r>
    <w:r>
      <w:rPr>
        <w:rFonts w:hint="eastAsia" w:ascii="楷体" w:hAnsi="楷体" w:eastAsia="楷体" w:cs="楷体"/>
        <w:kern w:val="0"/>
        <w:lang w:val="en-US" w:eastAsia="zh-CN"/>
      </w:rPr>
      <w:tab/>
    </w:r>
    <w:r>
      <w:rPr>
        <w:rFonts w:hint="eastAsia" w:ascii="楷体" w:hAnsi="楷体" w:eastAsia="楷体" w:cs="楷体"/>
        <w:kern w:val="0"/>
        <w:lang w:val="en-US" w:eastAsia="zh-CN"/>
      </w:rPr>
      <w:t>、、</w:t>
    </w:r>
  </w:p>
  <w:p>
    <w:pPr>
      <w:pStyle w:val="2"/>
    </w:pPr>
    <w:r>
      <w:rPr>
        <w:rFonts w:hint="eastAsia" w:ascii="楷体" w:hAnsi="楷体" w:eastAsia="楷体" w:cs="楷体"/>
        <w:kern w:val="0"/>
        <w:lang w:val="en-US" w:eastAsia="zh-CN"/>
      </w:rPr>
      <w:t>西直门北大街甲43号金运大厦A座307-309室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u w:val="single"/>
      </w:rPr>
    </w:pPr>
    <w:r>
      <w:rPr>
        <w:rFonts w:hint="eastAsia"/>
        <w:u w:val="single"/>
        <w:lang w:val="en-US" w:eastAsia="zh-CN"/>
      </w:rPr>
      <w:t xml:space="preserve"> </w:t>
    </w:r>
    <w:r>
      <w:rPr>
        <w:u w:val="single"/>
      </w:rPr>
      <w:drawing>
        <wp:inline distT="0" distB="0" distL="114300" distR="114300">
          <wp:extent cx="1574165" cy="406400"/>
          <wp:effectExtent l="0" t="0" r="63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40640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</w:t>
    </w:r>
    <w:r>
      <w:rPr>
        <w:rFonts w:hint="eastAsia"/>
        <w:u w:val="single"/>
        <w:lang w:eastAsia="zh-CN"/>
      </w:rPr>
      <w:tab/>
    </w:r>
    <w:r>
      <w:rPr>
        <w:rFonts w:hint="eastAsia"/>
        <w:u w:val="single"/>
      </w:rPr>
      <w:t xml:space="preserve"> </w:t>
    </w:r>
    <w:r>
      <w:rPr>
        <w:rFonts w:hint="eastAsia"/>
        <w:u w:val="single"/>
        <w:lang w:val="en-US" w:eastAsia="zh-CN"/>
      </w:rPr>
      <w:t xml:space="preserve">                                 </w:t>
    </w:r>
    <w:r>
      <w:rPr>
        <w:rFonts w:hint="eastAsia" w:ascii="黑体" w:hAnsi="黑体" w:eastAsia="黑体" w:cs="黑体"/>
        <w:b/>
        <w:bCs/>
        <w:u w:val="single"/>
      </w:rPr>
      <w:t>法律培训</w:t>
    </w:r>
    <w:r>
      <w:rPr>
        <w:rFonts w:hint="eastAsia" w:ascii="黑体" w:hAnsi="黑体" w:eastAsia="黑体" w:cs="黑体"/>
        <w:b/>
        <w:bCs/>
        <w:u w:val="single"/>
        <w:lang w:val="en-US" w:eastAsia="zh-CN"/>
      </w:rPr>
      <w:t>专家 法治人才摇篮</w:t>
    </w:r>
    <w:r>
      <w:rPr>
        <w:rFonts w:hint="eastAsia" w:ascii="黑体" w:hAnsi="黑体" w:eastAsia="黑体" w:cs="黑体"/>
        <w:b/>
        <w:bCs/>
        <w:u w:val="single"/>
        <w:lang w:eastAsia="zh-CN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4C5A"/>
    <w:rsid w:val="115C463E"/>
    <w:rsid w:val="121B5DE0"/>
    <w:rsid w:val="1C26048F"/>
    <w:rsid w:val="235678F0"/>
    <w:rsid w:val="28636C85"/>
    <w:rsid w:val="3A8429C5"/>
    <w:rsid w:val="4AEA2515"/>
    <w:rsid w:val="51CB1BE4"/>
    <w:rsid w:val="53CC0A2F"/>
    <w:rsid w:val="56DA4067"/>
    <w:rsid w:val="57DD31FD"/>
    <w:rsid w:val="5C714313"/>
    <w:rsid w:val="639A0BBB"/>
    <w:rsid w:val="63FF4FE7"/>
    <w:rsid w:val="67DB1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程素莲</dc:creator>
  <cp:lastModifiedBy>Administrator</cp:lastModifiedBy>
  <dcterms:modified xsi:type="dcterms:W3CDTF">2017-11-06T02:37:23Z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