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left="2" w:leftChars="1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建立健全党员联系群众制度情况统计表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填报单位（盖章）：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tbl>
      <w:tblPr>
        <w:tblStyle w:val="4"/>
        <w:tblW w:w="126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391"/>
        <w:gridCol w:w="1696"/>
        <w:gridCol w:w="1643"/>
        <w:gridCol w:w="1476"/>
        <w:gridCol w:w="2835"/>
        <w:gridCol w:w="1275"/>
        <w:gridCol w:w="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党组织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名称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中共党员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律师人数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非中共党员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律师人数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建立的联络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小组数量</w:t>
            </w:r>
          </w:p>
        </w:tc>
        <w:tc>
          <w:tcPr>
            <w:tcW w:w="558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联络小组情况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中共党员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律师姓名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联系的党外律师人数及名单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组建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时间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840" w:firstLineChars="3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C"/>
    <w:rsid w:val="004540FC"/>
    <w:rsid w:val="005C16F9"/>
    <w:rsid w:val="3FB5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2018-06-25T16:24:00Z</dcterms:created>
  <dc:creator>冯 培铭</dc:creator>
  <cp:lastModifiedBy>Administrator</cp:lastModifiedBy>
  <dcterms:modified xsi:type="dcterms:W3CDTF">2018-06-26T07:32:52Z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