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pacing w:line="500" w:lineRule="exact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第十届西部律师发展论坛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广西律师论文获奖名单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6"/>
        <w:tblW w:w="936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论文题目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作者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54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律师调解员资质条件探析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袁翠微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54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论离岸关联企业人格混同的法律责任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 xml:space="preserve">覃 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晴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-20"/>
                <w:sz w:val="32"/>
                <w:szCs w:val="32"/>
              </w:rPr>
              <w:t>自媒体时代下律师推广业务的行为边界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廖国靖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乃露莹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4</w:t>
            </w:r>
          </w:p>
        </w:tc>
        <w:tc>
          <w:tcPr>
            <w:tcW w:w="5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新时代提升法律扶贫有效性的思考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——以广西为视角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韦荣画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5</w:t>
            </w:r>
          </w:p>
        </w:tc>
        <w:tc>
          <w:tcPr>
            <w:tcW w:w="5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2"/>
                <w:szCs w:val="32"/>
              </w:rPr>
              <w:t>人工智能视域下律师业务拓展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color w:val="auto"/>
                <w:sz w:val="32"/>
                <w:szCs w:val="32"/>
              </w:rPr>
              <w:t>的创新模式研究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 xml:space="preserve">卢 </w:t>
            </w: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笛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黄元仟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6</w:t>
            </w:r>
          </w:p>
        </w:tc>
        <w:tc>
          <w:tcPr>
            <w:tcW w:w="5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旅游业对法律服务的新需求与律师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业务拓展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——以广西防城港边境旅游试验区为背景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陈资长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律师事务所文化建设与核心竞争力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李经强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2"/>
                <w:szCs w:val="32"/>
              </w:rPr>
              <w:t>法律援助案件质量标准的探研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 xml:space="preserve">梁 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18"/>
    <w:rsid w:val="00332605"/>
    <w:rsid w:val="006D1143"/>
    <w:rsid w:val="006D6AD3"/>
    <w:rsid w:val="006F6E27"/>
    <w:rsid w:val="00991EC8"/>
    <w:rsid w:val="00A61D18"/>
    <w:rsid w:val="00F6704E"/>
    <w:rsid w:val="3E517CBC"/>
    <w:rsid w:val="6C4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sz w:val="18"/>
      <w:szCs w:val="18"/>
    </w:rPr>
  </w:style>
  <w:style w:type="character" w:customStyle="1" w:styleId="9">
    <w:name w:val="纯文本 字符"/>
    <w:basedOn w:val="5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8CEA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6</TotalTime>
  <ScaleCrop>false</ScaleCrop>
  <LinksUpToDate>false</LinksUpToDate>
  <CharactersWithSpaces>306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2018-07-27T09:21:00Z</dcterms:created>
  <dc:creator>WLN</dc:creator>
  <cp:lastModifiedBy>潘小熊</cp:lastModifiedBy>
  <dcterms:modified xsi:type="dcterms:W3CDTF">2018-07-30T01:42:23Z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