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广西律师协会关于在全区律师事务所中推广使用“法治号”平台的通知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桂律协〔2019〕46号</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各市律师协会，区直各律师事务所：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4月3日，中央政法委机关报、司法部主管主办的法制日报社开发建设的法治新闻资讯法律服务聚合平台“法治号”正式上线。该平台面向全社会开放，这是宣传律师行业的一个很好的平台。根据司法部、自治区司法厅关于积极支持、入驻“法治号”平台，大力推动平台的使用和内容的传播的要求，请各市律师协会、区直各律师事务所组织入驻法制日报“法治号”平台。现将有关事项通知如下：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一、账号分配及使用办法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全区各律师事务所分配一个免费账号，具体账户分配和操作流程详见附件。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二、相关要求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（一）各律师事务所要安排专人负责“法治号”平台的登录及使用工作。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（二）为了便于管理和互动交流，登陆成功后请将账号名称统一改为“律师事务所名称全称”模式（如账户201950×8改为“广西××律师事务所”），并可自行修改登录密码。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（三）为了宣传各律师事务所的工作情况，请将本所的工作动态经所主任审核后上传至“法治号”平台，进一步扩大律师行业影响力。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（四）操作过程中如果遇到问题或意见建议，请直接与法制日报驻广西记者站覃世弄联系（联系电话：13977123677，0771-2621178）。 </w:t>
      </w:r>
      <w:r>
        <w:rPr>
          <w:rFonts w:hint="eastAsia" w:ascii="仿宋_GB2312" w:hAnsi="仿宋_GB2312"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shd w:val="clear" w:fill="FFFFFF"/>
          <w:lang w:val="en-US" w:eastAsia="zh-CN" w:bidi="ar"/>
        </w:rPr>
        <w:t>         请各市律师协会、区直各律师事务所高度重视“法治号”平台宣传推广力度，充分利用“法治号”平台，做好广西律师行业的宣传工作。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广西壮族自治区律师协会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2019年5月9日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（联系人：潘文君、罗慧芳，联系方式0771-5866327）</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638E6"/>
    <w:rsid w:val="09C6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2019-05-16T09:47:00Z</dcterms:created>
  <dc:creator>洋娃娃和小熊</dc:creator>
  <cp:lastModifiedBy>洋娃娃和小熊</cp:lastModifiedBy>
  <dcterms:modified xsi:type="dcterms:W3CDTF">2019-05-16T09:51:35Z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