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</w:pPr>
      <w:r>
        <w:rPr>
          <w:rFonts w:hint="eastAsia" w:ascii="宋体" w:hAnsi="宋体"/>
          <w:sz w:val="30"/>
          <w:szCs w:val="30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8"/>
          <w:szCs w:val="38"/>
        </w:rPr>
        <w:t>2019年度南宁市律师事务所实地检查考核表</w:t>
      </w:r>
      <w:bookmarkEnd w:id="0"/>
    </w:p>
    <w:p>
      <w:pPr>
        <w:spacing w:line="6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律师事务所（盖章）：                                          年     月     日</w:t>
      </w:r>
    </w:p>
    <w:tbl>
      <w:tblPr>
        <w:tblStyle w:val="7"/>
        <w:tblW w:w="10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19"/>
        <w:gridCol w:w="12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18" w:type="dxa"/>
            <w:gridSpan w:val="4"/>
            <w:noWrap w:val="0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律师事务所基本建设情况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1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□个人所   □合伙所   □分所  合伙人（派驻律师）人数（   ），聘用专职律师人数（    ），兼职律师人数（    ）</w:t>
            </w:r>
          </w:p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申请律师执业人员（实习人员）人数（      ），聘用辅助人员人数（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律师事务所是否有独立办公场所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律师事务所是否能够为律师提供必要的工作条件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在显著位置悬挂本所执业许可证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公示本所律师及辅助人员信息（姓名、执业证号、照片等信息）</w:t>
            </w:r>
            <w:r>
              <w:t xml:space="preserve"> 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公示投诉电话</w:t>
            </w:r>
            <w:r>
              <w:t xml:space="preserve"> 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是否有异地执业律师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是否有私自设立分支机构或办公场所的情形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18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微软雅黑"/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开展律师党建工作情况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18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律师事务所党员（      ）人。其中党组织在南宁市律师行业党委的党员（      ）人；党组织不在南宁市律师行业党委的党员（    ）人，名单有：                          □建立党支部 □设立支部委员会 □加入联合党支部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是否开展“不忘初心、牢记使命”主题教育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是否组织学习党的十九大和十九届二中、三中、四中全会精神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党建工作是否进《章程》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是否落实律师事务所主要负责人和党组织书记“一肩挑”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是否落实党组织班子成员与管理层“双向进入、交叉任职”制度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是否落实“三会一课”、主题党日、组织生活会、民主评议党员等制度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是否有专门党建工作经费，党建工作经费（           ）元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微软雅黑"/>
                <w:b/>
                <w:bCs/>
                <w:color w:val="000000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8"/>
                <w:szCs w:val="28"/>
              </w:rPr>
              <w:t>律师事务所业务活动开展情况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指导和监督律师代理重大案件、敏感案件、群体性案件</w:t>
            </w:r>
          </w:p>
        </w:tc>
        <w:tc>
          <w:tcPr>
            <w:tcW w:w="8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2019年共代理重大、敏感、群体性案件（    ）件，其中涉黑涉恶案件（    ）件，上报线索（  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  <w:color w:val="FF0000"/>
              </w:rPr>
            </w:pPr>
            <w:r>
              <w:rPr>
                <w:rFonts w:hint="eastAsia" w:ascii="宋体" w:hAnsi="宋体" w:cs="微软雅黑"/>
              </w:rPr>
              <w:t>律师事务所是否对重大、敏感、群体性案件，特别是办理涉黑涉恶案件、邪教案件进行集体讨论，并向主管司法局和律师协会报告备案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集体讨论：是□否□</w:t>
            </w:r>
          </w:p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报告备案：是□否□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律师事务所担任党政机关、企事业单位法律顾问情况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微软雅黑"/>
              </w:rPr>
              <w:t>）名律师担任（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微软雅黑"/>
              </w:rPr>
              <w:t>）个党政机关、（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微软雅黑"/>
              </w:rPr>
              <w:t>）个企事业单位法律顾问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律师事务所担任村（社区）法律顾问工作情况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微软雅黑"/>
              </w:rPr>
              <w:t>）名律师担任（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）个村（社区）法律顾问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律师事务所是否与村（社区）签订合同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896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村（社区）名称：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律师事务所参与</w:t>
            </w:r>
          </w:p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化解和代理涉法</w:t>
            </w:r>
          </w:p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涉诉信访工作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律师是否参与涉法涉诉信访值班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8967" w:type="dxa"/>
            <w:gridSpan w:val="3"/>
            <w:noWrap w:val="0"/>
            <w:vAlign w:val="center"/>
          </w:tcPr>
          <w:p>
            <w:pPr>
              <w:spacing w:line="220" w:lineRule="atLeast"/>
              <w:rPr>
                <w:rFonts w:cs="微软雅黑"/>
              </w:rPr>
            </w:pPr>
            <w:r>
              <w:rPr>
                <w:rFonts w:hint="eastAsia" w:ascii="宋体" w:hAnsi="宋体" w:cs="微软雅黑"/>
              </w:rPr>
              <w:t>参与涉法涉诉信访值班律师（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）人，值班次数（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微软雅黑"/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8"/>
                <w:szCs w:val="28"/>
              </w:rPr>
              <w:t>律师事务所内部管理制度建立与执行情况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统一收结案</w:t>
            </w:r>
          </w:p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和统一收费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 w:cs="微软雅黑"/>
              </w:rPr>
              <w:t>律师事务所是否有收结案登记本、公章使用登记本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律师事务所是否统一保管和使用律师服务专用文书、财务票据、业务档案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抽查案件委托代理合同中所签订的收费金额与发票金额是否一致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律师事务所是否有对聘用律师收案收费、业务指导的培训教育记录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</w:t>
            </w:r>
            <w:r>
              <w:rPr>
                <w:rFonts w:ascii="宋体" w:hAnsi="宋体" w:cs="微软雅黑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利益冲突审查</w:t>
            </w:r>
          </w:p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执行情况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律师事务所在案件受理审批时是否进行了利益冲突审查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年度内是否代理过有利益冲突的案件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  <w:color w:val="auto"/>
              </w:rPr>
            </w:pPr>
            <w:r>
              <w:rPr>
                <w:rFonts w:hint="eastAsia" w:ascii="宋体" w:hAnsi="宋体" w:cs="微软雅黑"/>
                <w:color w:val="auto"/>
              </w:rPr>
              <w:t>档案建立和管理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color w:val="auto"/>
              </w:rPr>
            </w:pPr>
            <w:r>
              <w:rPr>
                <w:rFonts w:hint="eastAsia" w:ascii="宋体" w:hAnsi="宋体" w:cs="微软雅黑"/>
                <w:color w:val="auto"/>
              </w:rPr>
              <w:t>是否有独立的档案室、档案柜、档案管理人员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spacing w:line="220" w:lineRule="atLeast"/>
              <w:rPr>
                <w:rFonts w:ascii="宋体" w:cs="宋体"/>
                <w:color w:val="auto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cs="宋体"/>
                <w:color w:val="auto"/>
              </w:rPr>
            </w:pPr>
            <w:r>
              <w:rPr>
                <w:rFonts w:hint="eastAsia" w:ascii="宋体" w:hAnsi="宋体" w:cs="微软雅黑"/>
                <w:color w:val="auto"/>
              </w:rPr>
              <w:t>律师的执业档案是否齐全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spacing w:line="220" w:lineRule="atLeast"/>
              <w:rPr>
                <w:rFonts w:ascii="宋体" w:cs="宋体"/>
                <w:color w:val="auto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201</w:t>
            </w:r>
            <w:r>
              <w:rPr>
                <w:rFonts w:hint="eastAsia" w:ascii="宋体" w:hAnsi="宋体" w:cs="宋体"/>
                <w:color w:val="auto"/>
              </w:rPr>
              <w:t>9</w:t>
            </w:r>
            <w:r>
              <w:rPr>
                <w:rFonts w:hint="eastAsia" w:ascii="宋体" w:hAnsi="宋体" w:cs="微软雅黑"/>
                <w:color w:val="auto"/>
              </w:rPr>
              <w:t>年律师业务档案归档是否与收案登记和委托合同一致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</w:t>
            </w:r>
          </w:p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收入及纳税情况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律师事务所2019年营业收入（      ）万元</w:t>
            </w:r>
          </w:p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查看律师事务所纳税凭证，是否有偷漏税现象发生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投诉查处</w:t>
            </w:r>
          </w:p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与责任追究</w:t>
            </w: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宋体" w:hAnsi="宋体" w:cs="微软雅黑"/>
              </w:rPr>
            </w:pPr>
            <w:r>
              <w:rPr>
                <w:rFonts w:ascii="宋体" w:hAnsi="宋体" w:cs="宋体"/>
              </w:rPr>
              <w:t>201</w:t>
            </w:r>
            <w:r>
              <w:rPr>
                <w:rFonts w:hint="eastAsia" w:ascii="宋体" w:hAnsi="宋体" w:cs="宋体"/>
              </w:rPr>
              <w:t>9</w:t>
            </w:r>
            <w:r>
              <w:rPr>
                <w:rFonts w:hint="eastAsia" w:ascii="宋体" w:hAnsi="宋体" w:cs="微软雅黑"/>
              </w:rPr>
              <w:t>年度律师事务所是否有接待投诉及处理投诉记录，具体情况：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学习与培训</w:t>
            </w: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律师事务所是否组织学习律师执业规范及行业管理相关规定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</w:t>
            </w:r>
            <w:r>
              <w:rPr>
                <w:rFonts w:ascii="宋体" w:hAnsi="宋体" w:cs="微软雅黑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color w:val="FF0000"/>
              </w:rPr>
            </w:pPr>
          </w:p>
        </w:tc>
        <w:tc>
          <w:tcPr>
            <w:tcW w:w="6946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是否有签到表、会议记录、律师个人学习笔记等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是□  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24999"/>
    <w:rsid w:val="06274A3A"/>
    <w:rsid w:val="1B536EAE"/>
    <w:rsid w:val="1D1A2039"/>
    <w:rsid w:val="23682656"/>
    <w:rsid w:val="254D03D2"/>
    <w:rsid w:val="2AD5534D"/>
    <w:rsid w:val="3F5243F5"/>
    <w:rsid w:val="517F5622"/>
    <w:rsid w:val="53D24999"/>
    <w:rsid w:val="60484BE4"/>
    <w:rsid w:val="60BA0AFF"/>
    <w:rsid w:val="686C6B10"/>
    <w:rsid w:val="75F0131D"/>
    <w:rsid w:val="78C942C2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2020-05-06T03:45:00Z</dcterms:created>
  <dc:creator>赖小邪</dc:creator>
  <cp:lastModifiedBy>赖小邪</cp:lastModifiedBy>
  <dcterms:modified xsi:type="dcterms:W3CDTF">2020-05-06T03:46:36Z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