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黑体" w:hAnsi="黑体" w:eastAsia="黑体" w:cs="Arial"/>
          <w:sz w:val="32"/>
          <w:szCs w:val="32"/>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案例类型：</w:t>
      </w:r>
      <w:r>
        <w:rPr>
          <w:rFonts w:hint="eastAsia" w:ascii="仿宋" w:hAnsi="仿宋" w:eastAsia="仿宋" w:cs="仿宋"/>
          <w:sz w:val="32"/>
          <w:szCs w:val="32"/>
          <w:u w:val="single"/>
        </w:rPr>
        <w:t xml:space="preserve">律师诉讼案例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rPr>
          <w:rFonts w:ascii="仿宋" w:hAnsi="仿宋" w:eastAsia="仿宋" w:cs="仿宋"/>
          <w:sz w:val="32"/>
          <w:szCs w:val="32"/>
          <w:u w:val="single"/>
        </w:rPr>
      </w:pPr>
      <w:r>
        <w:rPr>
          <w:rFonts w:hint="eastAsia" w:ascii="仿宋" w:hAnsi="仿宋" w:eastAsia="仿宋" w:cs="仿宋"/>
          <w:sz w:val="32"/>
          <w:szCs w:val="32"/>
        </w:rPr>
        <w:t>业务类型：</w:t>
      </w:r>
      <w:r>
        <w:rPr>
          <w:rFonts w:hint="eastAsia" w:ascii="仿宋" w:hAnsi="仿宋" w:eastAsia="仿宋" w:cs="仿宋"/>
          <w:sz w:val="32"/>
          <w:szCs w:val="32"/>
          <w:u w:val="single"/>
        </w:rPr>
        <w:t xml:space="preserve">买卖合同纠纷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法院判决时间：</w:t>
      </w:r>
      <w:r>
        <w:rPr>
          <w:rFonts w:hint="eastAsia" w:ascii="仿宋" w:hAnsi="仿宋" w:eastAsia="仿宋" w:cs="仿宋"/>
          <w:sz w:val="32"/>
          <w:szCs w:val="32"/>
          <w:u w:val="single"/>
        </w:rPr>
        <w:t xml:space="preserve">2020年11月30日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法院名称：</w:t>
      </w:r>
      <w:r>
        <w:rPr>
          <w:rFonts w:hint="eastAsia" w:ascii="仿宋" w:hAnsi="仿宋" w:eastAsia="仿宋" w:cs="仿宋"/>
          <w:sz w:val="32"/>
          <w:szCs w:val="32"/>
          <w:u w:val="single"/>
        </w:rPr>
        <w:t xml:space="preserve">广西壮族自治区高级人民法院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代理律师姓名：</w:t>
      </w:r>
      <w:r>
        <w:rPr>
          <w:rFonts w:hint="eastAsia" w:ascii="仿宋" w:hAnsi="仿宋" w:eastAsia="仿宋" w:cs="仿宋"/>
          <w:sz w:val="32"/>
          <w:szCs w:val="32"/>
          <w:u w:val="single"/>
        </w:rPr>
        <w:t>唐礼武</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rPr>
        <w:t xml:space="preserve">文霞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律师事务所名称：</w:t>
      </w:r>
      <w:r>
        <w:rPr>
          <w:rFonts w:hint="eastAsia" w:ascii="仿宋" w:hAnsi="仿宋" w:eastAsia="仿宋" w:cs="仿宋"/>
          <w:sz w:val="32"/>
          <w:szCs w:val="32"/>
          <w:u w:val="single"/>
          <w:lang w:eastAsia="zh-Hans"/>
        </w:rPr>
        <w:t>广西道森律师事务所</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rPr>
          <w:rFonts w:hint="default" w:ascii="仿宋" w:hAnsi="仿宋" w:eastAsia="仿宋" w:cs="仿宋"/>
          <w:sz w:val="32"/>
          <w:szCs w:val="32"/>
          <w:u w:val="single"/>
          <w:lang w:val="en-US" w:eastAsia="zh-CN"/>
        </w:rPr>
      </w:pPr>
      <w:r>
        <w:rPr>
          <w:rFonts w:hint="eastAsia" w:ascii="仿宋" w:hAnsi="仿宋" w:eastAsia="仿宋" w:cs="仿宋"/>
          <w:sz w:val="32"/>
          <w:szCs w:val="32"/>
        </w:rPr>
        <w:t>供稿：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Hans"/>
        </w:rPr>
        <w:t>广西道森律师事务所</w:t>
      </w:r>
      <w:r>
        <w:rPr>
          <w:rFonts w:ascii="仿宋" w:hAnsi="仿宋" w:eastAsia="仿宋" w:cs="仿宋"/>
          <w:sz w:val="32"/>
          <w:szCs w:val="32"/>
          <w:u w:val="single"/>
          <w:lang w:eastAsia="zh-Hans"/>
        </w:rPr>
        <w:t xml:space="preserve"> </w:t>
      </w:r>
      <w:r>
        <w:rPr>
          <w:rFonts w:hint="eastAsia" w:ascii="仿宋" w:hAnsi="仿宋" w:eastAsia="仿宋" w:cs="仿宋"/>
          <w:sz w:val="32"/>
          <w:szCs w:val="32"/>
          <w:u w:val="single"/>
        </w:rPr>
        <w:t xml:space="preserve">唐礼武 </w:t>
      </w:r>
      <w:r>
        <w:rPr>
          <w:rFonts w:hint="eastAsia" w:ascii="仿宋" w:hAnsi="仿宋" w:eastAsia="仿宋" w:cs="仿宋"/>
          <w:sz w:val="32"/>
          <w:szCs w:val="32"/>
          <w:u w:val="single"/>
          <w:lang w:val="en-US" w:eastAsia="zh-CN"/>
        </w:rPr>
        <w:t xml:space="preserve">                </w:t>
      </w:r>
    </w:p>
    <w:p>
      <w:pPr>
        <w:pStyle w:val="10"/>
        <w:keepNext w:val="0"/>
        <w:keepLines w:val="0"/>
        <w:pageBreakBefore w:val="0"/>
        <w:kinsoku/>
        <w:wordWrap/>
        <w:overflowPunct/>
        <w:topLinePunct w:val="0"/>
        <w:autoSpaceDE/>
        <w:autoSpaceDN/>
        <w:bidi w:val="0"/>
        <w:adjustRightInd/>
        <w:snapToGrid/>
        <w:spacing w:line="520" w:lineRule="exact"/>
        <w:jc w:val="left"/>
        <w:rPr>
          <w:rFonts w:ascii="仿宋" w:hAnsi="仿宋" w:eastAsia="仿宋" w:cs="仿宋"/>
          <w:sz w:val="32"/>
          <w:szCs w:val="32"/>
        </w:rPr>
      </w:pPr>
      <w:r>
        <w:rPr>
          <w:rFonts w:hint="eastAsia" w:ascii="仿宋" w:hAnsi="仿宋" w:eastAsia="仿宋" w:cs="仿宋"/>
          <w:sz w:val="32"/>
          <w:szCs w:val="32"/>
        </w:rPr>
        <w:t>审稿（实名，逐级）：</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cs="Arial"/>
          <w:sz w:val="32"/>
          <w:szCs w:val="32"/>
        </w:rPr>
      </w:pPr>
      <w:r>
        <w:rPr>
          <w:rFonts w:hint="eastAsia" w:ascii="仿宋" w:hAnsi="仿宋" w:eastAsia="仿宋" w:cs="仿宋"/>
          <w:sz w:val="32"/>
          <w:szCs w:val="32"/>
        </w:rPr>
        <w:t>检索主题词：</w:t>
      </w:r>
      <w:r>
        <w:rPr>
          <w:rFonts w:ascii="仿宋" w:hAnsi="仿宋" w:eastAsia="仿宋" w:cs="仿宋"/>
          <w:sz w:val="32"/>
          <w:szCs w:val="32"/>
          <w:u w:val="single"/>
        </w:rPr>
        <w:t xml:space="preserve">  </w:t>
      </w:r>
      <w:r>
        <w:rPr>
          <w:rFonts w:hint="eastAsia" w:ascii="仿宋" w:hAnsi="仿宋" w:eastAsia="仿宋" w:cs="仿宋"/>
          <w:sz w:val="32"/>
          <w:szCs w:val="32"/>
          <w:u w:val="single"/>
        </w:rPr>
        <w:t>消费者权益  包装瑕疵</w:t>
      </w:r>
      <w:r>
        <w:rPr>
          <w:rFonts w:ascii="仿宋" w:hAnsi="仿宋" w:eastAsia="仿宋" w:cs="仿宋"/>
          <w:sz w:val="32"/>
          <w:szCs w:val="32"/>
          <w:u w:val="single"/>
        </w:rPr>
        <w:t xml:space="preserve">  </w:t>
      </w:r>
      <w:r>
        <w:rPr>
          <w:rFonts w:hint="eastAsia" w:ascii="仿宋" w:hAnsi="仿宋" w:eastAsia="仿宋" w:cs="仿宋"/>
          <w:sz w:val="32"/>
          <w:szCs w:val="32"/>
          <w:u w:val="single"/>
        </w:rPr>
        <w:t>职业打假</w:t>
      </w:r>
      <w:r>
        <w:rPr>
          <w:rFonts w:ascii="仿宋" w:hAnsi="仿宋" w:eastAsia="仿宋" w:cs="仿宋"/>
          <w:sz w:val="32"/>
          <w:szCs w:val="32"/>
          <w:u w:val="single"/>
          <w:lang w:eastAsia="zh-Hans"/>
        </w:rPr>
        <w:t xml:space="preserve">                        </w:t>
      </w:r>
      <w:r>
        <w:rPr>
          <w:rFonts w:ascii="仿宋" w:hAnsi="仿宋" w:eastAsia="仿宋" w:cs="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rPr>
          <w:rFonts w:ascii="长城小标宋体" w:hAnsi="仿宋" w:eastAsia="长城小标宋体" w:cs="Arial"/>
          <w:sz w:val="36"/>
          <w:szCs w:val="36"/>
        </w:rPr>
      </w:pPr>
      <w:r>
        <w:rPr>
          <w:rFonts w:hint="eastAsia" w:ascii="黑体" w:hAnsi="黑体" w:eastAsia="黑体" w:cs="Arial"/>
          <w:sz w:val="32"/>
          <w:szCs w:val="32"/>
        </w:rPr>
        <w:t>二、案例正文采集</w:t>
      </w:r>
    </w:p>
    <w:p>
      <w:pPr>
        <w:keepNext w:val="0"/>
        <w:keepLines w:val="0"/>
        <w:pageBreakBefore w:val="0"/>
        <w:kinsoku/>
        <w:wordWrap/>
        <w:overflowPunct/>
        <w:topLinePunct w:val="0"/>
        <w:autoSpaceDE/>
        <w:autoSpaceDN/>
        <w:bidi w:val="0"/>
        <w:adjustRightInd/>
        <w:snapToGrid/>
        <w:spacing w:line="520" w:lineRule="exact"/>
        <w:jc w:val="center"/>
        <w:rPr>
          <w:rFonts w:ascii="长城小标宋体" w:hAnsi="仿宋" w:eastAsia="长城小标宋体" w:cs="Arial"/>
          <w:sz w:val="36"/>
          <w:szCs w:val="36"/>
        </w:rPr>
      </w:pPr>
      <w:r>
        <w:rPr>
          <w:rFonts w:hint="eastAsia" w:ascii="长城小标宋体" w:hAnsi="仿宋" w:eastAsia="长城小标宋体" w:cs="Arial"/>
          <w:sz w:val="36"/>
          <w:szCs w:val="36"/>
        </w:rPr>
        <w:t>韦某与南宁</w:t>
      </w:r>
      <w:r>
        <w:rPr>
          <w:rFonts w:hint="eastAsia" w:ascii="长城小标宋体" w:hAnsi="仿宋" w:eastAsia="长城小标宋体" w:cs="Arial"/>
          <w:sz w:val="36"/>
          <w:szCs w:val="36"/>
          <w:lang w:eastAsia="zh-Hans"/>
        </w:rPr>
        <w:t>某</w:t>
      </w:r>
      <w:r>
        <w:rPr>
          <w:rFonts w:hint="eastAsia" w:ascii="长城小标宋体" w:hAnsi="仿宋" w:eastAsia="长城小标宋体" w:cs="Arial"/>
          <w:sz w:val="36"/>
          <w:szCs w:val="36"/>
        </w:rPr>
        <w:t>贸易</w:t>
      </w:r>
      <w:r>
        <w:rPr>
          <w:rFonts w:hint="eastAsia" w:ascii="长城小标宋体" w:hAnsi="仿宋" w:eastAsia="长城小标宋体" w:cs="Arial"/>
          <w:sz w:val="36"/>
          <w:szCs w:val="36"/>
          <w:lang w:eastAsia="zh-Hans"/>
        </w:rPr>
        <w:t>有限</w:t>
      </w:r>
      <w:r>
        <w:rPr>
          <w:rFonts w:hint="eastAsia" w:ascii="长城小标宋体" w:hAnsi="仿宋" w:eastAsia="长城小标宋体" w:cs="Arial"/>
          <w:sz w:val="36"/>
          <w:szCs w:val="36"/>
        </w:rPr>
        <w:t>公司买卖合同纠纷案</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rPr>
      </w:pPr>
      <w:r>
        <w:rPr>
          <w:rFonts w:hint="eastAsia" w:ascii="仿宋" w:hAnsi="仿宋" w:eastAsia="仿宋" w:cs="Arial"/>
          <w:sz w:val="32"/>
          <w:szCs w:val="32"/>
        </w:rPr>
        <w:t>南宁某贸易有限公司系食品经销商，长期从事经营散装坚果食品销售，其经营方式为从湖南、辽宁等生产地采购不同品牌的坚果后，通过批发、散装称重等销售形式进行售卖。</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rPr>
      </w:pPr>
      <w:r>
        <w:rPr>
          <w:rFonts w:hint="eastAsia" w:ascii="仿宋" w:hAnsi="仿宋" w:eastAsia="仿宋" w:cs="Arial"/>
          <w:sz w:val="32"/>
          <w:szCs w:val="32"/>
        </w:rPr>
        <w:t>2017年4月18日，职业打假人韦某向南宁某贸易</w:t>
      </w:r>
      <w:r>
        <w:rPr>
          <w:rFonts w:hint="eastAsia" w:ascii="仿宋" w:hAnsi="仿宋" w:eastAsia="仿宋" w:cs="Arial"/>
          <w:sz w:val="32"/>
          <w:szCs w:val="32"/>
          <w:lang w:eastAsia="zh-Hans"/>
        </w:rPr>
        <w:t>有限</w:t>
      </w:r>
      <w:r>
        <w:rPr>
          <w:rFonts w:hint="eastAsia" w:ascii="仿宋" w:hAnsi="仿宋" w:eastAsia="仿宋" w:cs="Arial"/>
          <w:sz w:val="32"/>
          <w:szCs w:val="32"/>
        </w:rPr>
        <w:t>公司大量购买其散装销售的枣夹核桃、松子王、开心果。并以方便分发给公司员工为由，要求南宁某贸易有限公司使用自己印制的食品包装袋进行分装购买，将散装的枣夹核桃、松子王分装成500g/包，单价58元；开心果分装成288g/包，单价25元。每种坚果购买100包，总计价款14100元。韦某发现南宁某贸易有限公司在三种商品包装上的生产商均为“阿克苏某专业合作社”。而该阿克苏某专业合作社的食品生产许可产品为水果制品（水果干制品）、炒货食品及坚果制品（烘炒类），且炒货食品及坚果制品生产许可证已过期，其名下仅有水果制品生产许可证有效。包装标识的执行标准非前述三种商品，而是核桃坚果质量等级的标准，且外包装上缺少钠成分具体含量的标识。韦某将其投诉至新疆维吾尔自治区食品药品监督管理局，经该局调查，生产商阿克苏某专业合作社未加工、出售过前述三种商品，也从未与南宁某贸易有限公司进行过业务合作。</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rPr>
      </w:pPr>
      <w:r>
        <w:rPr>
          <w:rFonts w:hint="eastAsia" w:ascii="仿宋" w:hAnsi="仿宋" w:eastAsia="仿宋" w:cs="Arial"/>
          <w:sz w:val="32"/>
          <w:szCs w:val="32"/>
        </w:rPr>
        <w:t>韦某以南宁某贸易有限公司销售商品存在多处违反食品安全标准的情形向南宁市西乡塘区人民法院提起诉讼，要求南宁某贸易有限公司退还价款并支付十倍价款的赔偿金。一审法院于2017年11月10日做出判决：一、南宁某贸易有限公司退还韦某购物款14100元。二、南宁某贸易有限公司赔偿韦某141000元。</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rPr>
      </w:pPr>
      <w:r>
        <w:rPr>
          <w:rFonts w:hint="eastAsia" w:ascii="仿宋" w:hAnsi="仿宋" w:eastAsia="仿宋" w:cs="Arial"/>
          <w:sz w:val="32"/>
          <w:szCs w:val="32"/>
        </w:rPr>
        <w:t>南宁某贸易有限公司不服一审判决，于2018年11月15日向南宁市中级人民法院提出上诉，二审法院判决驳回南宁某贸易有限公司上诉，维持原判。</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rPr>
      </w:pPr>
      <w:r>
        <w:rPr>
          <w:rFonts w:hint="eastAsia" w:ascii="仿宋" w:hAnsi="仿宋" w:eastAsia="仿宋" w:cs="Arial"/>
          <w:sz w:val="32"/>
          <w:szCs w:val="32"/>
        </w:rPr>
        <w:t>南宁某贸易有限公司不服二审判决，</w:t>
      </w:r>
      <w:r>
        <w:rPr>
          <w:rFonts w:hint="eastAsia" w:ascii="仿宋" w:hAnsi="仿宋" w:eastAsia="仿宋" w:cs="Arial"/>
          <w:b w:val="0"/>
          <w:bCs w:val="0"/>
          <w:sz w:val="32"/>
          <w:szCs w:val="32"/>
          <w:u w:val="none"/>
        </w:rPr>
        <w:t>委托</w:t>
      </w:r>
      <w:r>
        <w:rPr>
          <w:rFonts w:hint="eastAsia" w:ascii="仿宋" w:hAnsi="仿宋" w:eastAsia="仿宋" w:cs="Arial"/>
          <w:b w:val="0"/>
          <w:bCs w:val="0"/>
          <w:sz w:val="32"/>
          <w:szCs w:val="32"/>
          <w:u w:val="none"/>
          <w:lang w:eastAsia="zh-Hans"/>
        </w:rPr>
        <w:t>广西道森</w:t>
      </w:r>
      <w:r>
        <w:rPr>
          <w:rFonts w:hint="eastAsia" w:ascii="仿宋" w:hAnsi="仿宋" w:eastAsia="仿宋" w:cs="Arial"/>
          <w:b w:val="0"/>
          <w:bCs w:val="0"/>
          <w:sz w:val="32"/>
          <w:szCs w:val="32"/>
          <w:u w:val="none"/>
        </w:rPr>
        <w:t>律师事务所唐礼武</w:t>
      </w:r>
      <w:r>
        <w:rPr>
          <w:rFonts w:hint="eastAsia" w:ascii="仿宋" w:hAnsi="仿宋" w:eastAsia="仿宋" w:cs="Arial"/>
          <w:b w:val="0"/>
          <w:bCs w:val="0"/>
          <w:sz w:val="32"/>
          <w:szCs w:val="32"/>
          <w:u w:val="none"/>
          <w:lang w:eastAsia="zh-Hans"/>
        </w:rPr>
        <w:t>、</w:t>
      </w:r>
      <w:r>
        <w:rPr>
          <w:rFonts w:hint="eastAsia" w:ascii="仿宋" w:hAnsi="仿宋" w:eastAsia="仿宋" w:cs="Arial"/>
          <w:b w:val="0"/>
          <w:bCs w:val="0"/>
          <w:sz w:val="32"/>
          <w:szCs w:val="32"/>
          <w:u w:val="none"/>
        </w:rPr>
        <w:t>文霞（实习）律师代理其提起再审申请</w:t>
      </w:r>
      <w:r>
        <w:rPr>
          <w:rFonts w:hint="eastAsia" w:ascii="仿宋" w:hAnsi="仿宋" w:eastAsia="仿宋" w:cs="Arial"/>
          <w:b/>
          <w:bCs/>
          <w:sz w:val="32"/>
          <w:szCs w:val="32"/>
        </w:rPr>
        <w:t>。</w:t>
      </w:r>
      <w:r>
        <w:rPr>
          <w:rFonts w:hint="eastAsia" w:ascii="仿宋" w:hAnsi="仿宋" w:eastAsia="仿宋" w:cs="Arial"/>
          <w:sz w:val="32"/>
          <w:szCs w:val="32"/>
        </w:rPr>
        <w:t>广西壮族自治区高级人民法院受理了再审申请，裁定由本院提审。广西壮族自治区高级人民法院于2020年11月30日作出再审</w:t>
      </w:r>
      <w:r>
        <w:rPr>
          <w:rFonts w:hint="eastAsia" w:ascii="仿宋" w:hAnsi="仿宋" w:eastAsia="仿宋" w:cs="Arial"/>
          <w:sz w:val="32"/>
          <w:szCs w:val="32"/>
          <w:lang w:eastAsia="zh-Hans"/>
        </w:rPr>
        <w:t>判决</w:t>
      </w:r>
      <w:r>
        <w:rPr>
          <w:rFonts w:hint="eastAsia" w:ascii="仿宋" w:hAnsi="仿宋" w:eastAsia="仿宋" w:cs="Arial"/>
          <w:sz w:val="32"/>
          <w:szCs w:val="32"/>
        </w:rPr>
        <w:t>，判决南宁某贸易有限公司退还韦某购物狂14100元，同时韦某退还南宁某贸易有限公司其购买的商品</w:t>
      </w:r>
      <w:r>
        <w:rPr>
          <w:rFonts w:hint="eastAsia" w:ascii="仿宋" w:hAnsi="仿宋" w:eastAsia="仿宋" w:cs="Arial"/>
          <w:sz w:val="32"/>
          <w:szCs w:val="32"/>
          <w:lang w:eastAsia="zh-Hans"/>
        </w:rPr>
        <w:t>，</w:t>
      </w:r>
      <w:r>
        <w:rPr>
          <w:rFonts w:hint="eastAsia" w:ascii="仿宋" w:hAnsi="仿宋" w:eastAsia="仿宋" w:cs="Arial"/>
          <w:sz w:val="32"/>
          <w:szCs w:val="32"/>
        </w:rPr>
        <w:t>南宁某贸易有限公司</w:t>
      </w:r>
      <w:r>
        <w:rPr>
          <w:rFonts w:hint="eastAsia" w:ascii="仿宋" w:hAnsi="仿宋" w:eastAsia="仿宋" w:cs="Arial"/>
          <w:sz w:val="32"/>
          <w:szCs w:val="32"/>
          <w:lang w:eastAsia="zh-Hans"/>
        </w:rPr>
        <w:t>无需</w:t>
      </w:r>
      <w:r>
        <w:rPr>
          <w:rFonts w:hint="eastAsia" w:ascii="仿宋" w:hAnsi="仿宋" w:eastAsia="仿宋" w:cs="Arial"/>
          <w:sz w:val="32"/>
          <w:szCs w:val="32"/>
        </w:rPr>
        <w:t>向韦某</w:t>
      </w:r>
      <w:r>
        <w:rPr>
          <w:rFonts w:hint="eastAsia" w:ascii="仿宋" w:hAnsi="仿宋" w:eastAsia="仿宋" w:cs="Arial"/>
          <w:sz w:val="32"/>
          <w:szCs w:val="32"/>
          <w:lang w:eastAsia="zh-Hans"/>
        </w:rPr>
        <w:t>支付</w:t>
      </w:r>
      <w:r>
        <w:rPr>
          <w:rFonts w:hint="eastAsia" w:ascii="仿宋" w:hAnsi="仿宋" w:eastAsia="仿宋" w:cs="Arial"/>
          <w:sz w:val="32"/>
          <w:szCs w:val="32"/>
        </w:rPr>
        <w:t>141000元赔偿金。</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cs="Arial"/>
          <w:sz w:val="32"/>
          <w:szCs w:val="32"/>
          <w:highlight w:val="none"/>
        </w:rPr>
      </w:pPr>
      <w:r>
        <w:rPr>
          <w:rFonts w:hint="eastAsia" w:ascii="黑体" w:hAnsi="黑体" w:eastAsia="黑体" w:cs="Arial"/>
          <w:sz w:val="32"/>
          <w:szCs w:val="32"/>
          <w:highlight w:val="none"/>
        </w:rPr>
        <w:t>【</w:t>
      </w:r>
      <w:r>
        <w:rPr>
          <w:rFonts w:hint="eastAsia" w:ascii="仿宋" w:hAnsi="仿宋" w:eastAsia="仿宋" w:cs="Arial"/>
          <w:sz w:val="32"/>
          <w:szCs w:val="32"/>
          <w:highlight w:val="none"/>
        </w:rPr>
        <w:t>代理意见</w:t>
      </w:r>
      <w:r>
        <w:rPr>
          <w:rFonts w:hint="eastAsia" w:ascii="黑体" w:hAnsi="黑体" w:eastAsia="黑体" w:cs="Arial"/>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shd w:val="clear" w:color="auto" w:fill="auto"/>
        </w:rPr>
      </w:pPr>
      <w:r>
        <w:rPr>
          <w:rFonts w:hint="eastAsia" w:ascii="仿宋" w:hAnsi="仿宋" w:eastAsia="仿宋" w:cs="Arial"/>
          <w:sz w:val="32"/>
          <w:szCs w:val="32"/>
          <w:shd w:val="clear" w:color="auto" w:fill="auto"/>
        </w:rPr>
        <w:t>代理律师认为，本案系买卖合同纠纷，主要的争议焦点为南宁某贸易有限公司将预包装的批发食品拆散后再包装新品牌且新品牌</w:t>
      </w:r>
      <w:r>
        <w:rPr>
          <w:rFonts w:hint="eastAsia" w:ascii="仿宋" w:hAnsi="仿宋" w:eastAsia="仿宋" w:cs="Arial"/>
          <w:sz w:val="32"/>
          <w:szCs w:val="32"/>
          <w:shd w:val="clear" w:color="auto" w:fill="auto"/>
          <w:lang w:val="en-US" w:eastAsia="zh-CN"/>
        </w:rPr>
        <w:t>中存在</w:t>
      </w:r>
      <w:r>
        <w:rPr>
          <w:rFonts w:hint="eastAsia" w:ascii="仿宋" w:hAnsi="仿宋" w:eastAsia="仿宋" w:cs="Arial"/>
          <w:sz w:val="32"/>
          <w:szCs w:val="32"/>
          <w:shd w:val="clear" w:color="auto" w:fill="auto"/>
        </w:rPr>
        <w:t>盗用他人的包装标识</w:t>
      </w:r>
      <w:r>
        <w:rPr>
          <w:rFonts w:hint="eastAsia" w:ascii="仿宋" w:hAnsi="仿宋" w:eastAsia="仿宋" w:cs="Arial"/>
          <w:sz w:val="32"/>
          <w:szCs w:val="32"/>
          <w:shd w:val="clear" w:color="auto" w:fill="auto"/>
          <w:lang w:val="en-US" w:eastAsia="zh-CN"/>
        </w:rPr>
        <w:t>情形</w:t>
      </w:r>
      <w:r>
        <w:rPr>
          <w:rFonts w:hint="eastAsia" w:ascii="仿宋" w:hAnsi="仿宋" w:eastAsia="仿宋" w:cs="Arial"/>
          <w:sz w:val="32"/>
          <w:szCs w:val="32"/>
          <w:shd w:val="clear" w:color="auto" w:fill="auto"/>
        </w:rPr>
        <w:t>，是否构成“生产不符合食品安全标准或经营不符合安全标准的食品”，以及南宁某贸易有限公司冒用其他公司名称进行食品再包装是否对韦某购买食品形成误导，且韦某作为职业打假人是否能适用《中华人民共和国消费者权益保护法》。</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shd w:val="clear" w:color="auto" w:fill="auto"/>
        </w:rPr>
      </w:pPr>
      <w:r>
        <w:rPr>
          <w:rFonts w:hint="eastAsia" w:ascii="仿宋" w:hAnsi="仿宋" w:eastAsia="仿宋" w:cs="Arial"/>
          <w:sz w:val="32"/>
          <w:szCs w:val="32"/>
          <w:shd w:val="clear" w:color="auto" w:fill="auto"/>
        </w:rPr>
        <w:t>即（1）分包装是否构成生产销售不符合食品安全标准的食品。（2）南宁某贸易有限公司的分包装行为及包装瑕疵是否构成消费欺诈，不构成消费欺诈该如何定性。（3）韦某作为职业打假人是否能适用消费者权益保护法的欺诈保护。</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 w:hAnsi="仿宋" w:eastAsia="仿宋" w:cs="Arial"/>
          <w:sz w:val="32"/>
          <w:szCs w:val="32"/>
          <w:shd w:val="clear" w:color="auto" w:fill="auto"/>
        </w:rPr>
      </w:pPr>
      <w:r>
        <w:rPr>
          <w:rFonts w:hint="eastAsia" w:ascii="仿宋" w:hAnsi="仿宋" w:eastAsia="仿宋" w:cs="Arial"/>
          <w:sz w:val="32"/>
          <w:szCs w:val="32"/>
          <w:shd w:val="clear" w:color="auto" w:fill="auto"/>
        </w:rPr>
        <w:t>代理律师从以下几个方面阐述：</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shd w:val="clear" w:color="auto" w:fill="auto"/>
        </w:rPr>
      </w:pPr>
      <w:r>
        <w:rPr>
          <w:rFonts w:hint="eastAsia" w:ascii="黑体" w:hAnsi="黑体" w:eastAsia="黑体" w:cs="黑体"/>
          <w:sz w:val="32"/>
          <w:szCs w:val="32"/>
          <w:shd w:val="clear" w:color="auto" w:fill="auto"/>
        </w:rPr>
        <w:t>一、南宁某贸易有限公司将批发食品拆散再进行分包装，不能因此认定为生产销售不符合食品安全标准或经营不符合安全标准的食品。</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shd w:val="clear" w:color="auto" w:fill="auto"/>
        </w:rPr>
      </w:pPr>
      <w:r>
        <w:rPr>
          <w:rFonts w:hint="eastAsia" w:ascii="仿宋" w:hAnsi="仿宋" w:eastAsia="仿宋" w:cs="Arial"/>
          <w:sz w:val="32"/>
          <w:szCs w:val="32"/>
          <w:shd w:val="clear" w:color="auto" w:fill="auto"/>
        </w:rPr>
        <w:t>再包装行为不能认定为再生产行为，再生产行为应该是改变产品本身性质，例如向原产品内添加或减少成分、改变原产品的物理形态等。</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shd w:val="clear" w:color="auto" w:fill="auto"/>
        </w:rPr>
      </w:pPr>
      <w:r>
        <w:rPr>
          <w:rFonts w:hint="eastAsia" w:ascii="仿宋" w:hAnsi="仿宋" w:eastAsia="仿宋" w:cs="Arial"/>
          <w:sz w:val="32"/>
          <w:szCs w:val="32"/>
          <w:shd w:val="clear" w:color="auto" w:fill="auto"/>
        </w:rPr>
        <w:t>再包装行为不会导致产品不符合食品安全标准，根据《食品安全法》第二十六条食品安全标准应是指食品质量问题，列如微生物、药品、毒素残留物过量危害人体安全、违规使用食品添加剂、专供特殊人群食用不符合营养标准等，其衡量标准是要食品质量影响到食用者的人体健康。显然再包装行为并不能直接影响到食品质量，南宁某贸易有限公司有食品经营许可并销售质量安全产品，提供完整供应链，不属于生产销售不符合食品安全标准或经营不符合安全标准食品，不应承担责任。</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二、南宁某贸易有限公司分包装上的标识存在瑕疵，不能认定消费欺诈。</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shd w:val="clear" w:color="auto" w:fill="auto"/>
        </w:rPr>
      </w:pPr>
      <w:r>
        <w:rPr>
          <w:rFonts w:hint="eastAsia" w:ascii="仿宋" w:hAnsi="仿宋" w:eastAsia="仿宋" w:cs="Arial"/>
          <w:sz w:val="32"/>
          <w:szCs w:val="32"/>
          <w:shd w:val="clear" w:color="auto" w:fill="auto"/>
        </w:rPr>
        <w:t>南宁某贸易有限公司经营的散装坚果零售，属于正常的市场经营行为，其销售时仅注明相应的坚果名称并不能构成误解，韦某在散装展柜上直接确认商品质量，且是应韦某要求将散装的食品进行再包装，即韦某确认产品质量而购买的行为在前，包装外观在后，不存在韦某因为产品外包装而被误导进行购买。</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shd w:val="clear" w:color="auto" w:fill="auto"/>
        </w:rPr>
      </w:pPr>
      <w:r>
        <w:rPr>
          <w:rFonts w:hint="eastAsia" w:ascii="仿宋" w:hAnsi="仿宋" w:eastAsia="仿宋" w:cs="Arial"/>
          <w:sz w:val="32"/>
          <w:szCs w:val="32"/>
          <w:shd w:val="clear" w:color="auto" w:fill="auto"/>
        </w:rPr>
        <w:t>南宁某贸易有限公司确实存在分包装行为不妥之处，擅自使用他人企业的名称</w:t>
      </w:r>
      <w:r>
        <w:rPr>
          <w:rFonts w:hint="eastAsia" w:ascii="仿宋" w:hAnsi="仿宋" w:eastAsia="仿宋" w:cs="Arial"/>
          <w:sz w:val="32"/>
          <w:szCs w:val="32"/>
          <w:shd w:val="clear" w:color="auto" w:fill="auto"/>
          <w:lang w:val="en-US" w:eastAsia="zh-CN"/>
        </w:rPr>
        <w:t>及相关信息</w:t>
      </w:r>
      <w:r>
        <w:rPr>
          <w:rFonts w:hint="eastAsia" w:ascii="仿宋" w:hAnsi="仿宋" w:eastAsia="仿宋" w:cs="Arial"/>
          <w:sz w:val="32"/>
          <w:szCs w:val="32"/>
          <w:shd w:val="clear" w:color="auto" w:fill="auto"/>
        </w:rPr>
        <w:t>用于包装，包装</w:t>
      </w:r>
      <w:r>
        <w:rPr>
          <w:rFonts w:hint="eastAsia" w:ascii="仿宋" w:hAnsi="仿宋" w:eastAsia="仿宋" w:cs="Arial"/>
          <w:sz w:val="32"/>
          <w:szCs w:val="32"/>
          <w:shd w:val="clear" w:color="auto" w:fill="auto"/>
          <w:lang w:val="en-US" w:eastAsia="zh-CN"/>
        </w:rPr>
        <w:t>信息</w:t>
      </w:r>
      <w:r>
        <w:rPr>
          <w:rFonts w:hint="eastAsia" w:ascii="仿宋" w:hAnsi="仿宋" w:eastAsia="仿宋" w:cs="Arial"/>
          <w:sz w:val="32"/>
          <w:szCs w:val="32"/>
          <w:shd w:val="clear" w:color="auto" w:fill="auto"/>
        </w:rPr>
        <w:t>不符合食品包装标准。前者</w:t>
      </w:r>
      <w:r>
        <w:rPr>
          <w:rFonts w:hint="eastAsia" w:ascii="仿宋" w:hAnsi="仿宋" w:eastAsia="仿宋" w:cs="Arial"/>
          <w:sz w:val="32"/>
          <w:szCs w:val="32"/>
          <w:shd w:val="clear" w:color="auto" w:fill="auto"/>
          <w:lang w:val="en-US" w:eastAsia="zh-CN"/>
        </w:rPr>
        <w:t>涉嫌</w:t>
      </w:r>
      <w:r>
        <w:rPr>
          <w:rFonts w:hint="eastAsia" w:ascii="仿宋" w:hAnsi="仿宋" w:eastAsia="仿宋" w:cs="Arial"/>
          <w:sz w:val="32"/>
          <w:szCs w:val="32"/>
          <w:shd w:val="clear" w:color="auto" w:fill="auto"/>
        </w:rPr>
        <w:t>侵权</w:t>
      </w:r>
      <w:r>
        <w:rPr>
          <w:rFonts w:hint="eastAsia" w:ascii="仿宋" w:hAnsi="仿宋" w:eastAsia="仿宋" w:cs="Arial"/>
          <w:sz w:val="32"/>
          <w:szCs w:val="32"/>
          <w:shd w:val="clear" w:color="auto" w:fill="auto"/>
          <w:lang w:val="en-US" w:eastAsia="zh-CN"/>
        </w:rPr>
        <w:t>及扰乱市场秩序</w:t>
      </w:r>
      <w:r>
        <w:rPr>
          <w:rFonts w:hint="eastAsia" w:ascii="仿宋" w:hAnsi="仿宋" w:eastAsia="仿宋" w:cs="Arial"/>
          <w:sz w:val="32"/>
          <w:szCs w:val="32"/>
          <w:shd w:val="clear" w:color="auto" w:fill="auto"/>
        </w:rPr>
        <w:t>，后者构成食品包装瑕疵。而阿克苏某专业合作社</w:t>
      </w:r>
      <w:r>
        <w:rPr>
          <w:rFonts w:hint="eastAsia" w:ascii="仿宋" w:hAnsi="仿宋" w:eastAsia="仿宋" w:cs="Arial"/>
          <w:sz w:val="32"/>
          <w:szCs w:val="32"/>
          <w:shd w:val="clear" w:color="auto" w:fill="auto"/>
          <w:lang w:val="en-US" w:eastAsia="zh-CN"/>
        </w:rPr>
        <w:t>及</w:t>
      </w:r>
      <w:r>
        <w:rPr>
          <w:rFonts w:hint="eastAsia" w:ascii="仿宋" w:hAnsi="仿宋" w:eastAsia="仿宋" w:cs="Arial"/>
          <w:sz w:val="32"/>
          <w:szCs w:val="32"/>
        </w:rPr>
        <w:t>食品药品监督管理局</w:t>
      </w:r>
      <w:r>
        <w:rPr>
          <w:rFonts w:hint="eastAsia" w:ascii="仿宋" w:hAnsi="仿宋" w:eastAsia="仿宋" w:cs="Arial"/>
          <w:sz w:val="32"/>
          <w:szCs w:val="32"/>
          <w:shd w:val="clear" w:color="auto" w:fill="auto"/>
        </w:rPr>
        <w:t>并未追究此行为，韦某显然不是包装侵权之诉的适格主体。包装虽存在瑕疵，但并未误导韦某，适用《食品安全法》第一百四十八条，排除适用十倍赔偿的规定。</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cs="黑体"/>
          <w:sz w:val="32"/>
          <w:szCs w:val="32"/>
          <w:shd w:val="clear" w:color="auto" w:fill="auto"/>
        </w:rPr>
      </w:pPr>
      <w:r>
        <w:rPr>
          <w:rFonts w:hint="eastAsia" w:ascii="黑体" w:hAnsi="黑体" w:eastAsia="黑体" w:cs="黑体"/>
          <w:sz w:val="32"/>
          <w:szCs w:val="32"/>
          <w:shd w:val="clear" w:color="auto" w:fill="auto"/>
        </w:rPr>
        <w:t>三、韦某系职业打假人，职业打假人不能适用《消费者权益保护法》的相关条款。</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shd w:val="clear" w:color="auto" w:fill="auto"/>
        </w:rPr>
      </w:pPr>
      <w:r>
        <w:rPr>
          <w:rFonts w:hint="eastAsia" w:ascii="仿宋" w:hAnsi="仿宋" w:eastAsia="仿宋" w:cs="Arial"/>
          <w:sz w:val="32"/>
          <w:szCs w:val="32"/>
          <w:shd w:val="clear" w:color="auto" w:fill="auto"/>
        </w:rPr>
        <w:t>经案例搜索，韦某从2016年至今，提出的同类诉讼高达90余件，同年诉讼30余件，每次都是购买大量无法证明其有具体生活用途的产品，诉讼文书显示其多次以分给发员工为由进行搪塞，且未举证证明，显然不符合《消费者权益保护法》所定义的“消费者”。根据《最高人民法院关于审理食品药品纠纷案件适用法律若干问题的规定》第三条规定“因食品、药品质量问题引发纠纷，购买者向生产者、经营者主张权利。生产者、销售者以购买者明知食品、药品存在质量问题而仍然购买未理由而进行抗辩的，人民法院不予支持”，结合全文意见，因食品、药品质量问题引发纠纷，生产者、销售者不能因购买者是</w:t>
      </w:r>
      <w:bookmarkStart w:id="0" w:name="_Hlk81558607"/>
      <w:r>
        <w:rPr>
          <w:rFonts w:hint="eastAsia" w:ascii="仿宋" w:hAnsi="仿宋" w:eastAsia="仿宋" w:cs="Arial"/>
          <w:sz w:val="32"/>
          <w:szCs w:val="32"/>
          <w:shd w:val="clear" w:color="auto" w:fill="auto"/>
        </w:rPr>
        <w:t>“职业打假人”</w:t>
      </w:r>
      <w:bookmarkEnd w:id="0"/>
      <w:r>
        <w:rPr>
          <w:rFonts w:hint="eastAsia" w:ascii="仿宋" w:hAnsi="仿宋" w:eastAsia="仿宋" w:cs="Arial"/>
          <w:sz w:val="32"/>
          <w:szCs w:val="32"/>
          <w:shd w:val="clear" w:color="auto" w:fill="auto"/>
        </w:rPr>
        <w:t>而规避责任，但对于食品、药品的非质量问题，比如产品外观包装瑕疵等，“职业打假人”因其以营利为目的、具有不纯洁性而得不到保护。</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Arial"/>
          <w:sz w:val="32"/>
          <w:szCs w:val="32"/>
        </w:rPr>
      </w:pPr>
      <w:r>
        <w:rPr>
          <w:rFonts w:hint="eastAsia" w:ascii="仿宋" w:hAnsi="仿宋" w:eastAsia="仿宋" w:cs="Arial"/>
          <w:sz w:val="32"/>
          <w:szCs w:val="32"/>
        </w:rPr>
        <w:t>广西壮族自治区高级人民法院判决南宁某贸易有限公司退还韦某购物款14100元，同时韦某须退还从南宁某贸易有限公司购买的商品</w:t>
      </w:r>
      <w:r>
        <w:rPr>
          <w:rFonts w:hint="eastAsia" w:ascii="仿宋" w:hAnsi="仿宋" w:eastAsia="仿宋" w:cs="Arial"/>
          <w:sz w:val="32"/>
          <w:szCs w:val="32"/>
          <w:lang w:eastAsia="zh-Hans"/>
        </w:rPr>
        <w:t>，</w:t>
      </w:r>
      <w:r>
        <w:rPr>
          <w:rFonts w:hint="eastAsia" w:ascii="仿宋" w:hAnsi="仿宋" w:eastAsia="仿宋" w:cs="Arial"/>
          <w:sz w:val="32"/>
          <w:szCs w:val="32"/>
        </w:rPr>
        <w:t>南宁某贸易有限公司</w:t>
      </w:r>
      <w:r>
        <w:rPr>
          <w:rFonts w:hint="eastAsia" w:ascii="仿宋" w:hAnsi="仿宋" w:eastAsia="仿宋" w:cs="Arial"/>
          <w:sz w:val="32"/>
          <w:szCs w:val="32"/>
          <w:lang w:eastAsia="zh-Hans"/>
        </w:rPr>
        <w:t>无需</w:t>
      </w:r>
      <w:r>
        <w:rPr>
          <w:rFonts w:hint="eastAsia" w:ascii="仿宋" w:hAnsi="仿宋" w:eastAsia="仿宋" w:cs="Arial"/>
          <w:sz w:val="32"/>
          <w:szCs w:val="32"/>
        </w:rPr>
        <w:t>向韦某</w:t>
      </w:r>
      <w:r>
        <w:rPr>
          <w:rFonts w:hint="eastAsia" w:ascii="仿宋" w:hAnsi="仿宋" w:eastAsia="仿宋" w:cs="Arial"/>
          <w:sz w:val="32"/>
          <w:szCs w:val="32"/>
          <w:lang w:eastAsia="zh-Hans"/>
        </w:rPr>
        <w:t>支付</w:t>
      </w:r>
      <w:r>
        <w:rPr>
          <w:rFonts w:hint="eastAsia" w:ascii="仿宋" w:hAnsi="仿宋" w:eastAsia="仿宋" w:cs="Arial"/>
          <w:sz w:val="32"/>
          <w:szCs w:val="32"/>
        </w:rPr>
        <w:t>141000元赔偿金。</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center"/>
        <w:rPr>
          <w:rFonts w:hint="default" w:ascii="仿宋" w:hAnsi="仿宋" w:eastAsia="仿宋"/>
          <w:b w:val="0"/>
          <w:color w:val="000000"/>
          <w:kern w:val="2"/>
          <w:sz w:val="32"/>
          <w:szCs w:val="32"/>
        </w:rPr>
      </w:pPr>
      <w:r>
        <w:rPr>
          <w:rFonts w:hint="eastAsia" w:ascii="仿宋" w:hAnsi="仿宋" w:eastAsia="仿宋"/>
          <w:color w:val="000000"/>
          <w:sz w:val="32"/>
          <w:szCs w:val="32"/>
        </w:rPr>
        <w:t>本院认为，一、关于南宁某贸易有限公司是否应当退还韦某购物款14100元的问题。案涉开心果、松子王、枣夹核桃均属市场上常见的散装食品，是否有预包装，均不影响产品的质量问题。从南宁某贸易有限公司的经营地点、经营方式来看，其是在南宁市某区某联合食品市场做食品的批发及零售业务，南宁某贸易有限公司对其销售的大量开心果、松子、红枣、核桃等产品均提供了生产厂家及进货渠道的有关证明。由此，对南宁某贸易有限公司声称案涉开心果、松子、红枣、核桃本身为散装食品，应韦某要求使用自己印制的食品装包袋进行分装，并非预包装食品的说法，符合客观实际，本院予以采信。案涉的开心果、松子、红枣、核桃属于本身可袋装可散装的食品，使用包装并不会构成不符合食品安全标准的产品，但南宁某贸易有限公司从不同渠道进货的食品，用标注为生产商阿克苏某专业合作社的袋子进行分装，显然不当，存在产品标识上的瑕疵。因此，韦某请求退还标识不当的产品，由南宁某贸易有限公司退还购物款14100元，本院予以支持。</w:t>
      </w:r>
      <w:r>
        <w:rPr>
          <w:rFonts w:ascii="仿宋" w:hAnsi="仿宋" w:eastAsia="仿宋"/>
          <w:b w:val="0"/>
          <w:color w:val="000000"/>
          <w:kern w:val="2"/>
          <w:sz w:val="32"/>
          <w:szCs w:val="32"/>
        </w:rPr>
        <w:t>二、关于韦某主张十倍价款的赔偿141000元应否支持的问题。根据《中华人民共和国食品安全法》第一百四十八条第二款“生产不符合食品安全标准的食品或经营明知是不符合食品安全标准的食品，消费者除要求赔偿损失外，还可以生产者或经营者要求支付价款十倍或损失三倍的赔偿金；增加赔偿的金额不足一千元的，为一千元。但是，食品的标签、说明书存在不影响食品安全且不会对消费者造成误导的瑕疵的除外”的规定，本案属于食品质量不存在问题，但食品的说明书存在瑕疵，且不会对消费者造成误导的除外情况。此外，《中华人民共和国</w:t>
      </w:r>
      <w:r>
        <w:rPr>
          <w:rFonts w:hint="default" w:ascii="仿宋" w:hAnsi="仿宋" w:eastAsia="仿宋"/>
          <w:b w:val="0"/>
          <w:color w:val="000000"/>
          <w:kern w:val="2"/>
          <w:sz w:val="32"/>
          <w:szCs w:val="32"/>
        </w:rPr>
        <w:t>消费者权益保护法</w:t>
      </w:r>
      <w:r>
        <w:rPr>
          <w:rFonts w:ascii="仿宋" w:hAnsi="仿宋" w:eastAsia="仿宋"/>
          <w:b w:val="0"/>
          <w:color w:val="000000"/>
          <w:kern w:val="2"/>
          <w:sz w:val="32"/>
          <w:szCs w:val="32"/>
        </w:rPr>
        <w:t>》第二条规定：“消费者为生活消费需要购买、使用商品或者接受服务，其权益受本法保护;本法未作规定的，受其他有关法律、法规保护。”明确了消费者为生活消费需要进行的消费活动，其权益才受到该法的保护。韦某购买了本案开心果、松子王、枣夹核桃共计300包，但不能提供在短时间食用或他用300包案涉食品的合理说明，应当认定韦某并非未来生活消费而购买的产品。且经本院查询，韦某购买各类产品后，主要是通过起诉至人民法院的诉讼程序中获取利益，其行为明显不属于《中华人民共和国消费者权益保护法》规定的生活消费的定义，对韦某的主张十倍价款赔偿141000元的请求，本院不予支持。</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cs="Arial"/>
          <w:sz w:val="32"/>
          <w:szCs w:val="32"/>
          <w:highlight w:val="none"/>
          <w:shd w:val="clear" w:color="auto" w:fill="auto"/>
        </w:rPr>
      </w:pPr>
      <w:r>
        <w:rPr>
          <w:rFonts w:hint="eastAsia" w:ascii="黑体" w:hAnsi="黑体" w:eastAsia="黑体" w:cs="Arial"/>
          <w:sz w:val="32"/>
          <w:szCs w:val="32"/>
          <w:highlight w:val="none"/>
          <w:shd w:val="clear" w:color="auto" w:fill="auto"/>
        </w:rPr>
        <w:t>【</w:t>
      </w:r>
      <w:r>
        <w:rPr>
          <w:rFonts w:hint="eastAsia" w:ascii="仿宋" w:hAnsi="仿宋" w:eastAsia="仿宋" w:cs="Arial"/>
          <w:sz w:val="32"/>
          <w:szCs w:val="32"/>
          <w:highlight w:val="none"/>
          <w:shd w:val="clear" w:color="auto" w:fill="auto"/>
        </w:rPr>
        <w:t>案例评析</w:t>
      </w:r>
      <w:r>
        <w:rPr>
          <w:rFonts w:hint="eastAsia" w:ascii="黑体" w:hAnsi="黑体" w:eastAsia="黑体" w:cs="Arial"/>
          <w:sz w:val="32"/>
          <w:szCs w:val="32"/>
          <w:highlight w:val="none"/>
          <w:shd w:val="clear" w:color="auto" w:fill="auto"/>
        </w:rPr>
        <w:t>】</w:t>
      </w:r>
    </w:p>
    <w:p>
      <w:pPr>
        <w:keepNext w:val="0"/>
        <w:keepLines w:val="0"/>
        <w:pageBreakBefore w:val="0"/>
        <w:numPr>
          <w:ilvl w:val="0"/>
          <w:numId w:val="3"/>
        </w:numPr>
        <w:kinsoku/>
        <w:wordWrap/>
        <w:overflowPunct/>
        <w:topLinePunct w:val="0"/>
        <w:autoSpaceDE/>
        <w:autoSpaceDN/>
        <w:bidi w:val="0"/>
        <w:adjustRightInd/>
        <w:snapToGrid/>
        <w:spacing w:line="520" w:lineRule="exact"/>
        <w:ind w:firstLine="640" w:firstLineChars="200"/>
        <w:rPr>
          <w:rFonts w:hint="eastAsia" w:ascii="黑体" w:hAnsi="黑体" w:eastAsia="黑体" w:cs="黑体"/>
          <w:color w:val="000000"/>
          <w:sz w:val="32"/>
          <w:szCs w:val="32"/>
          <w:shd w:val="clear" w:color="auto" w:fill="auto"/>
        </w:rPr>
      </w:pPr>
      <w:r>
        <w:rPr>
          <w:rFonts w:hint="eastAsia" w:ascii="黑体" w:hAnsi="黑体" w:eastAsia="黑体" w:cs="黑体"/>
          <w:color w:val="000000"/>
          <w:sz w:val="32"/>
          <w:szCs w:val="32"/>
          <w:shd w:val="clear" w:color="auto" w:fill="auto"/>
        </w:rPr>
        <w:t>“知假买假”的惩罚性赔偿仅适用于食品、药品存在质量问题的领域，食品、药品外包装瑕疵不构成误导的，不适用食品安全法规定的惩罚性赔偿。</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olor w:val="000000"/>
          <w:sz w:val="32"/>
          <w:szCs w:val="32"/>
          <w:shd w:val="clear" w:color="auto" w:fill="auto"/>
        </w:rPr>
      </w:pPr>
      <w:r>
        <w:rPr>
          <w:rFonts w:hint="eastAsia" w:ascii="仿宋" w:hAnsi="仿宋" w:eastAsia="仿宋"/>
          <w:color w:val="000000"/>
          <w:sz w:val="32"/>
          <w:szCs w:val="32"/>
          <w:shd w:val="clear" w:color="auto" w:fill="auto"/>
        </w:rPr>
        <w:t>食品外观包装不直接影响食品质量，食、药领域的惩罚性赔偿规定对“知假买假”者的保护，仅适用于食品、药品本身的质量问题，所谓质量问题应是产品涉及人体健康、公共安全的问题。对于外观包装瑕疵可能导致的误导行为应适用消费者权益保护法。</w:t>
      </w:r>
      <w:bookmarkStart w:id="1" w:name="_GoBack"/>
      <w:bookmarkEnd w:id="1"/>
    </w:p>
    <w:p>
      <w:pPr>
        <w:keepNext w:val="0"/>
        <w:keepLines w:val="0"/>
        <w:pageBreakBefore w:val="0"/>
        <w:numPr>
          <w:ilvl w:val="0"/>
          <w:numId w:val="3"/>
        </w:numPr>
        <w:kinsoku/>
        <w:wordWrap/>
        <w:overflowPunct/>
        <w:topLinePunct w:val="0"/>
        <w:autoSpaceDE/>
        <w:autoSpaceDN/>
        <w:bidi w:val="0"/>
        <w:adjustRightInd/>
        <w:snapToGrid/>
        <w:spacing w:line="5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非消费者，不能主张消费欺诈的惩罚性赔偿。</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案中的韦某，经常性购买各类产品后从诉讼程序中获利，已违背消费者权益保护法立法初衷。消费者权益保护法的惩罚性质赔偿规定，是鼓励消费者受到侵权时勇于以法律武器捍卫自身权利，并对维权中的损失进行更全面的弥补，对商家给予警示。韦某大量的产品质量相关诉讼，每次购买超过正常日常生活所需的用品，以此达到赚取高额赔偿金的目的，不能将其认定为受</w:t>
      </w:r>
      <w:r>
        <w:rPr>
          <w:rFonts w:ascii="仿宋" w:hAnsi="仿宋" w:eastAsia="仿宋"/>
          <w:color w:val="000000"/>
          <w:sz w:val="32"/>
          <w:szCs w:val="32"/>
        </w:rPr>
        <w:t>消费者权益保护法</w:t>
      </w:r>
      <w:r>
        <w:rPr>
          <w:rFonts w:hint="eastAsia" w:ascii="仿宋" w:hAnsi="仿宋" w:eastAsia="仿宋"/>
          <w:color w:val="000000"/>
          <w:sz w:val="32"/>
          <w:szCs w:val="32"/>
        </w:rPr>
        <w:t>保护的消费者。</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黑体" w:hAnsi="黑体" w:eastAsia="黑体" w:cs="Arial"/>
          <w:sz w:val="32"/>
          <w:szCs w:val="32"/>
          <w:highlight w:val="none"/>
        </w:rPr>
      </w:pPr>
      <w:r>
        <w:rPr>
          <w:rFonts w:hint="eastAsia" w:ascii="黑体" w:hAnsi="黑体" w:eastAsia="黑体" w:cs="Arial"/>
          <w:sz w:val="32"/>
          <w:szCs w:val="32"/>
          <w:highlight w:val="none"/>
        </w:rPr>
        <w:t>【</w:t>
      </w:r>
      <w:r>
        <w:rPr>
          <w:rFonts w:hint="eastAsia" w:ascii="仿宋" w:hAnsi="仿宋" w:eastAsia="仿宋" w:cs="Arial"/>
          <w:sz w:val="32"/>
          <w:szCs w:val="32"/>
          <w:highlight w:val="none"/>
        </w:rPr>
        <w:t>结语和建议</w:t>
      </w:r>
      <w:r>
        <w:rPr>
          <w:rFonts w:hint="eastAsia" w:ascii="黑体" w:hAnsi="黑体" w:eastAsia="黑体" w:cs="Arial"/>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职业打假人”的社会评价众说纷纭、褒贬不一。消费者将其高高举起冠以英雄之名，他们有组织、有能力、有经验在面对掌握社会大量资源的企业面前能百战不殆，他们的维权故事成了消费者口中的传奇。商家对其死缠烂打、纠缠不休、吹毛求疵的行为痛恨欲绝，认为他们只是因钱而生，甚至大多数是竞争对手派来的打手，他们根本不在乎维权、市场秩序、消费权益，也没有实现社会公平的理想，纯粹是打着法律名义的劫匪，给钱便任由通行。社会学家</w:t>
      </w:r>
      <w:r>
        <w:fldChar w:fldCharType="begin"/>
      </w:r>
      <w:r>
        <w:instrText xml:space="preserve"> HYPERLINK "https://baike.baidu.com/item/%E5%A4%8F%E5%AD%A6%E9%8A%AE" \t "https://baike.baidu.com/item/%E8%81%8C%E4%B8%9A%E6%89%93%E5%81%87%E4%BA%BA/_blank" </w:instrText>
      </w:r>
      <w:r>
        <w:fldChar w:fldCharType="separate"/>
      </w:r>
      <w:r>
        <w:rPr>
          <w:rFonts w:ascii="仿宋" w:hAnsi="仿宋" w:eastAsia="仿宋" w:cs="仿宋"/>
          <w:sz w:val="32"/>
          <w:szCs w:val="32"/>
        </w:rPr>
        <w:t>夏学銮</w:t>
      </w:r>
      <w:r>
        <w:rPr>
          <w:rFonts w:ascii="仿宋" w:hAnsi="仿宋" w:eastAsia="仿宋" w:cs="仿宋"/>
          <w:sz w:val="32"/>
          <w:szCs w:val="32"/>
        </w:rPr>
        <w:fldChar w:fldCharType="end"/>
      </w:r>
      <w:r>
        <w:rPr>
          <w:rFonts w:ascii="仿宋" w:hAnsi="仿宋" w:eastAsia="仿宋" w:cs="仿宋"/>
          <w:sz w:val="32"/>
          <w:szCs w:val="32"/>
        </w:rPr>
        <w:t>将那些以营利为目的的“职业打假人”比做“不良商业生活孕育出来的寄生虫”</w:t>
      </w:r>
      <w:r>
        <w:rPr>
          <w:rFonts w:hint="eastAsia" w:ascii="仿宋" w:hAnsi="仿宋" w:eastAsia="仿宋" w:cs="仿宋"/>
          <w:sz w:val="32"/>
          <w:szCs w:val="32"/>
        </w:rPr>
        <w:t>，而泛滥成灾的寄生虫也将会给鲜活的生命带去真切的死亡。</w:t>
      </w:r>
    </w:p>
    <w:p>
      <w:pPr>
        <w:keepNext w:val="0"/>
        <w:keepLines w:val="0"/>
        <w:pageBreakBefore w:val="0"/>
        <w:kinsoku/>
        <w:wordWrap/>
        <w:overflowPunct/>
        <w:topLinePunct w:val="0"/>
        <w:autoSpaceDE/>
        <w:autoSpaceDN/>
        <w:bidi w:val="0"/>
        <w:adjustRightInd/>
        <w:snapToGrid/>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从社会权力层此的角度探讨，</w:t>
      </w:r>
      <w:r>
        <w:rPr>
          <w:rFonts w:ascii="仿宋" w:hAnsi="仿宋" w:eastAsia="仿宋"/>
          <w:color w:val="000000"/>
          <w:sz w:val="32"/>
          <w:szCs w:val="32"/>
        </w:rPr>
        <w:t>消费者权益保护法</w:t>
      </w:r>
      <w:r>
        <w:rPr>
          <w:rFonts w:hint="eastAsia" w:ascii="仿宋" w:hAnsi="仿宋" w:eastAsia="仿宋" w:cs="仿宋"/>
          <w:sz w:val="32"/>
          <w:szCs w:val="32"/>
        </w:rPr>
        <w:t>所分配给消费者的诸如双倍赔偿、三倍赔偿、十倍赔偿等带有惩罚性赔偿性质，涉及传统权力分配中公权力享有的惩罚权。对于公权力，有相应的公权力运行机制，保证其能公开、透明、稳定运行。而惩罚权经</w:t>
      </w:r>
      <w:r>
        <w:rPr>
          <w:rFonts w:ascii="仿宋" w:hAnsi="仿宋" w:eastAsia="仿宋"/>
          <w:color w:val="000000"/>
          <w:sz w:val="32"/>
          <w:szCs w:val="32"/>
        </w:rPr>
        <w:t>消费者权益保护法</w:t>
      </w:r>
      <w:r>
        <w:rPr>
          <w:rFonts w:hint="eastAsia" w:ascii="仿宋" w:hAnsi="仿宋" w:eastAsia="仿宋" w:cs="仿宋"/>
          <w:sz w:val="32"/>
          <w:szCs w:val="32"/>
        </w:rPr>
        <w:t>下放到公民个体，当个体也可以挥舞杀威大棒，无监督、无管理下的权力必然会导致个体的腐化，最后将会伤及权力所保护对象的本身。因此，对于</w:t>
      </w:r>
      <w:r>
        <w:rPr>
          <w:rFonts w:ascii="仿宋" w:hAnsi="仿宋" w:eastAsia="仿宋"/>
          <w:color w:val="000000"/>
          <w:sz w:val="32"/>
          <w:szCs w:val="32"/>
        </w:rPr>
        <w:t>消费者权益保护法</w:t>
      </w:r>
      <w:r>
        <w:rPr>
          <w:rFonts w:hint="eastAsia" w:ascii="仿宋" w:hAnsi="仿宋" w:eastAsia="仿宋" w:cs="仿宋"/>
          <w:sz w:val="32"/>
          <w:szCs w:val="32"/>
        </w:rPr>
        <w:t>中的惩罚权适用，应当严格遵循法律法规，考虑立法目的，切实保护消费者权益，杜绝权利滥用，才能维护市场繁荣稳定。</w:t>
      </w:r>
    </w:p>
    <w:p>
      <w:pPr>
        <w:spacing w:line="600" w:lineRule="exact"/>
        <w:ind w:firstLine="640" w:firstLineChars="200"/>
        <w:rPr>
          <w:rFonts w:ascii="仿宋" w:hAnsi="仿宋" w:eastAsia="仿宋" w:cs="Arial"/>
          <w:sz w:val="32"/>
          <w:szCs w:val="32"/>
        </w:rPr>
      </w:pPr>
    </w:p>
    <w:sectPr>
      <w:footerReference r:id="rId3" w:type="default"/>
      <w:pgSz w:w="11906" w:h="16838"/>
      <w:pgMar w:top="2098"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C8CEEE"/>
    <w:multiLevelType w:val="singleLevel"/>
    <w:tmpl w:val="BAC8CEEE"/>
    <w:lvl w:ilvl="0" w:tentative="0">
      <w:start w:val="1"/>
      <w:numFmt w:val="chineseCounting"/>
      <w:suff w:val="nothing"/>
      <w:lvlText w:val="（%1）"/>
      <w:lvlJc w:val="left"/>
      <w:rPr>
        <w:rFonts w:hint="eastAsia"/>
      </w:rPr>
    </w:lvl>
  </w:abstractNum>
  <w:abstractNum w:abstractNumId="1">
    <w:nsid w:val="BF305154"/>
    <w:multiLevelType w:val="singleLevel"/>
    <w:tmpl w:val="BF305154"/>
    <w:lvl w:ilvl="0" w:tentative="0">
      <w:start w:val="1"/>
      <w:numFmt w:val="chineseCounting"/>
      <w:suff w:val="nothing"/>
      <w:lvlText w:val="%1、"/>
      <w:lvlJc w:val="left"/>
      <w:rPr>
        <w:rFonts w:hint="eastAsia"/>
      </w:rPr>
    </w:lvl>
  </w:abstractNum>
  <w:abstractNum w:abstractNumId="2">
    <w:nsid w:val="D0603604"/>
    <w:multiLevelType w:val="singleLevel"/>
    <w:tmpl w:val="D060360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1D"/>
    <w:rsid w:val="001E4A87"/>
    <w:rsid w:val="002C04BC"/>
    <w:rsid w:val="00360F8E"/>
    <w:rsid w:val="003834FE"/>
    <w:rsid w:val="0055232D"/>
    <w:rsid w:val="00595F59"/>
    <w:rsid w:val="005B5B8F"/>
    <w:rsid w:val="00934C03"/>
    <w:rsid w:val="00A01BFE"/>
    <w:rsid w:val="00A24A1D"/>
    <w:rsid w:val="00A722B9"/>
    <w:rsid w:val="00E9153C"/>
    <w:rsid w:val="017D68DD"/>
    <w:rsid w:val="07D943B9"/>
    <w:rsid w:val="0A0B5F5F"/>
    <w:rsid w:val="13670B3F"/>
    <w:rsid w:val="13B33420"/>
    <w:rsid w:val="16EF3700"/>
    <w:rsid w:val="180A0E1D"/>
    <w:rsid w:val="19686D4C"/>
    <w:rsid w:val="1A066A00"/>
    <w:rsid w:val="1BF21CB7"/>
    <w:rsid w:val="235412BF"/>
    <w:rsid w:val="23894B6A"/>
    <w:rsid w:val="257218EB"/>
    <w:rsid w:val="28B35A92"/>
    <w:rsid w:val="29064F9C"/>
    <w:rsid w:val="295A013B"/>
    <w:rsid w:val="2A7B73E0"/>
    <w:rsid w:val="2A89752B"/>
    <w:rsid w:val="2AFE683F"/>
    <w:rsid w:val="2BAE18BE"/>
    <w:rsid w:val="2C870905"/>
    <w:rsid w:val="2E912BEE"/>
    <w:rsid w:val="2FD96F39"/>
    <w:rsid w:val="301C237C"/>
    <w:rsid w:val="36E13CDE"/>
    <w:rsid w:val="39B570B1"/>
    <w:rsid w:val="3DEF5F95"/>
    <w:rsid w:val="3F4B3AA9"/>
    <w:rsid w:val="41163A14"/>
    <w:rsid w:val="42A7058D"/>
    <w:rsid w:val="45DDBEDF"/>
    <w:rsid w:val="4A0300B9"/>
    <w:rsid w:val="4E3B077E"/>
    <w:rsid w:val="4FC81E41"/>
    <w:rsid w:val="50423547"/>
    <w:rsid w:val="52F651C5"/>
    <w:rsid w:val="53F86295"/>
    <w:rsid w:val="551B26E4"/>
    <w:rsid w:val="551E2F03"/>
    <w:rsid w:val="5977373C"/>
    <w:rsid w:val="5E1A72FC"/>
    <w:rsid w:val="60E87BD4"/>
    <w:rsid w:val="619F330C"/>
    <w:rsid w:val="62936C16"/>
    <w:rsid w:val="636802D7"/>
    <w:rsid w:val="6628251A"/>
    <w:rsid w:val="6685247E"/>
    <w:rsid w:val="6A741635"/>
    <w:rsid w:val="6DF440BF"/>
    <w:rsid w:val="71AF5DD9"/>
    <w:rsid w:val="754407CD"/>
    <w:rsid w:val="77CD3C8B"/>
    <w:rsid w:val="77FA3038"/>
    <w:rsid w:val="7ABE4A76"/>
    <w:rsid w:val="7C4F36EE"/>
    <w:rsid w:val="7DD44A56"/>
    <w:rsid w:val="E74D7DFD"/>
    <w:rsid w:val="EEDD546D"/>
    <w:rsid w:val="EF7FFE95"/>
    <w:rsid w:val="EFFE188F"/>
    <w:rsid w:val="FF7F8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5"/>
    <w:basedOn w:val="1"/>
    <w:next w:val="1"/>
    <w:semiHidden/>
    <w:unhideWhenUsed/>
    <w:qFormat/>
    <w:uiPriority w:val="0"/>
    <w:pPr>
      <w:spacing w:beforeAutospacing="1" w:afterAutospacing="1"/>
      <w:jc w:val="left"/>
      <w:outlineLvl w:val="4"/>
    </w:pPr>
    <w:rPr>
      <w:rFonts w:hint="eastAsia" w:ascii="宋体" w:hAnsi="宋体"/>
      <w:b/>
      <w:kern w:val="0"/>
      <w:sz w:val="20"/>
      <w:szCs w:val="2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739</Words>
  <Characters>4218</Characters>
  <Lines>35</Lines>
  <Paragraphs>9</Paragraphs>
  <TotalTime>17</TotalTime>
  <ScaleCrop>false</ScaleCrop>
  <LinksUpToDate>false</LinksUpToDate>
  <CharactersWithSpaces>4948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2021-07-08T17:15:00Z</dcterms:created>
  <dc:creator>南宁市律师协会</dc:creator>
  <cp:lastModifiedBy>秋鸢落樱</cp:lastModifiedBy>
  <dcterms:modified xsi:type="dcterms:W3CDTF">2021-12-21T09:04:02Z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96FECE37DD4E437B9C85C3FE555195DA</vt:lpwstr>
  </property>
</Properties>
</file>