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ascii="黑体" w:hAnsi="黑体" w:eastAsia="黑体"/>
          <w:sz w:val="44"/>
          <w:szCs w:val="44"/>
        </w:rPr>
      </w:pPr>
      <w:r>
        <w:rPr>
          <w:rFonts w:hint="eastAsia" w:ascii="黑体" w:hAnsi="黑体" w:eastAsia="黑体"/>
          <w:sz w:val="44"/>
          <w:szCs w:val="44"/>
        </w:rPr>
        <w:t>律师诉讼案例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黑体" w:hAnsi="黑体" w:eastAsia="黑体" w:cs="Arial"/>
          <w:sz w:val="32"/>
          <w:szCs w:val="32"/>
        </w:rPr>
      </w:pPr>
      <w:r>
        <w:rPr>
          <w:rFonts w:hint="eastAsia" w:ascii="黑体" w:hAnsi="黑体" w:eastAsia="黑体" w:cs="Arial"/>
          <w:sz w:val="32"/>
          <w:szCs w:val="32"/>
        </w:rPr>
        <w:t>一、案例基本信息采集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u w:val="single"/>
        </w:rPr>
      </w:pPr>
      <w:r>
        <w:rPr>
          <w:rFonts w:hint="eastAsia" w:ascii="仿宋" w:hAnsi="仿宋" w:eastAsia="仿宋" w:cs="Arial"/>
          <w:sz w:val="32"/>
          <w:szCs w:val="32"/>
        </w:rPr>
        <w:t>案例类型：</w:t>
      </w:r>
      <w:r>
        <w:rPr>
          <w:rFonts w:hint="eastAsia" w:ascii="仿宋" w:hAnsi="仿宋" w:eastAsia="仿宋" w:cs="Arial"/>
          <w:sz w:val="32"/>
          <w:szCs w:val="32"/>
          <w:u w:val="single"/>
        </w:rPr>
        <w:t xml:space="preserve">律师诉讼案例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u w:val="single"/>
        </w:rPr>
      </w:pPr>
      <w:r>
        <w:rPr>
          <w:rFonts w:hint="eastAsia" w:ascii="仿宋" w:hAnsi="仿宋" w:eastAsia="仿宋" w:cs="Arial"/>
          <w:sz w:val="32"/>
          <w:szCs w:val="32"/>
        </w:rPr>
        <w:t>业务类型：</w:t>
      </w:r>
      <w:r>
        <w:rPr>
          <w:rFonts w:hint="eastAsia" w:ascii="仿宋" w:hAnsi="仿宋" w:eastAsia="仿宋" w:cs="Arial"/>
          <w:sz w:val="32"/>
          <w:szCs w:val="32"/>
          <w:u w:val="single"/>
        </w:rPr>
        <w:t xml:space="preserve">公司诉讼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法院判决时间：</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2018年12月26日</w:t>
      </w:r>
      <w:r>
        <w:rPr>
          <w:rFonts w:hint="eastAsia" w:ascii="仿宋" w:hAnsi="仿宋" w:eastAsia="仿宋" w:cs="Arial"/>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法院名称：</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最高人民法院</w:t>
      </w:r>
      <w:r>
        <w:rPr>
          <w:rFonts w:hint="eastAsia" w:ascii="仿宋" w:hAnsi="仿宋" w:eastAsia="仿宋" w:cs="Arial"/>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代理律师姓名：</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梅细扬、梁柳宁</w:t>
      </w:r>
      <w:r>
        <w:rPr>
          <w:rFonts w:hint="eastAsia" w:ascii="仿宋" w:hAnsi="仿宋" w:eastAsia="仿宋" w:cs="Arial"/>
          <w:sz w:val="32"/>
          <w:szCs w:val="32"/>
          <w:u w:val="single"/>
        </w:rPr>
        <w:t xml:space="preserve">                              </w:t>
      </w:r>
      <w:r>
        <w:rPr>
          <w:rFonts w:hint="eastAsia" w:ascii="仿宋" w:hAnsi="仿宋" w:eastAsia="仿宋" w:cs="Arial"/>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律师事务所名称：</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广西君桂律师事务所</w:t>
      </w:r>
      <w:r>
        <w:rPr>
          <w:rFonts w:hint="eastAsia" w:ascii="仿宋" w:hAnsi="仿宋" w:eastAsia="仿宋" w:cs="Arial"/>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ascii="仿宋" w:hAnsi="仿宋" w:eastAsia="仿宋" w:cs="Arial"/>
          <w:sz w:val="32"/>
          <w:szCs w:val="32"/>
          <w:u w:val="single"/>
        </w:rPr>
      </w:pPr>
      <w:r>
        <w:rPr>
          <w:rFonts w:hint="eastAsia" w:ascii="仿宋" w:hAnsi="仿宋" w:eastAsia="仿宋"/>
          <w:sz w:val="32"/>
          <w:szCs w:val="32"/>
        </w:rPr>
        <w:t>供</w:t>
      </w:r>
      <w:r>
        <w:rPr>
          <w:rFonts w:ascii="仿宋" w:hAnsi="仿宋" w:eastAsia="仿宋"/>
          <w:sz w:val="32"/>
          <w:szCs w:val="32"/>
        </w:rPr>
        <w:t>稿</w:t>
      </w:r>
      <w:r>
        <w:rPr>
          <w:rFonts w:hint="eastAsia" w:ascii="仿宋" w:hAnsi="仿宋" w:eastAsia="仿宋" w:cs="Arial"/>
          <w:sz w:val="32"/>
          <w:szCs w:val="32"/>
        </w:rPr>
        <w:t>：</w:t>
      </w:r>
      <w:r>
        <w:rPr>
          <w:rFonts w:hint="eastAsia" w:ascii="仿宋" w:hAnsi="仿宋" w:eastAsia="仿宋" w:cs="Arial"/>
          <w:sz w:val="32"/>
          <w:szCs w:val="32"/>
          <w:u w:val="single"/>
          <w:lang w:val="en-US" w:eastAsia="zh-CN"/>
        </w:rPr>
        <w:t xml:space="preserve">广西君桂律师事务所 </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梅细扬</w:t>
      </w:r>
      <w:r>
        <w:rPr>
          <w:rFonts w:hint="eastAsia" w:ascii="仿宋" w:hAnsi="仿宋" w:eastAsia="仿宋" w:cs="Arial"/>
          <w:sz w:val="32"/>
          <w:szCs w:val="32"/>
          <w:u w:val="single"/>
        </w:rPr>
        <w:t xml:space="preserve">                      </w:t>
      </w:r>
    </w:p>
    <w:p>
      <w:pPr>
        <w:pStyle w:val="10"/>
        <w:keepNext w:val="0"/>
        <w:keepLines w:val="0"/>
        <w:pageBreakBefore w:val="0"/>
        <w:kinsoku/>
        <w:wordWrap/>
        <w:overflowPunct/>
        <w:topLinePunct w:val="0"/>
        <w:autoSpaceDE/>
        <w:autoSpaceDN/>
        <w:bidi w:val="0"/>
        <w:adjustRightInd/>
        <w:snapToGrid/>
        <w:spacing w:line="600" w:lineRule="exact"/>
        <w:jc w:val="left"/>
        <w:rPr>
          <w:rFonts w:ascii="仿宋_GB2312" w:hAnsi="黑体" w:eastAsia="仿宋_GB2312"/>
          <w:sz w:val="32"/>
          <w:szCs w:val="32"/>
        </w:rPr>
      </w:pPr>
      <w:r>
        <w:rPr>
          <w:rFonts w:hint="eastAsia" w:ascii="仿宋" w:hAnsi="仿宋" w:eastAsia="仿宋" w:cs="Times New Roman"/>
          <w:kern w:val="2"/>
          <w:sz w:val="32"/>
          <w:szCs w:val="32"/>
          <w:lang w:val="en-US" w:eastAsia="zh-CN" w:bidi="ar-SA"/>
        </w:rPr>
        <w:t>审稿（实名，逐级）：</w:t>
      </w:r>
      <w:r>
        <w:rPr>
          <w:rFonts w:hint="eastAsia" w:ascii="仿宋_GB2312" w:hAnsi="黑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 w:hAnsi="仿宋" w:eastAsia="仿宋" w:cs="Arial"/>
          <w:sz w:val="32"/>
          <w:szCs w:val="32"/>
          <w:u w:val="single"/>
          <w:lang w:val="en-US" w:eastAsia="zh-CN"/>
        </w:rPr>
      </w:pPr>
      <w:r>
        <w:rPr>
          <w:rFonts w:hint="eastAsia" w:ascii="仿宋" w:hAnsi="仿宋" w:eastAsia="仿宋"/>
          <w:sz w:val="32"/>
          <w:szCs w:val="32"/>
        </w:rPr>
        <w:t>检索主题词：</w:t>
      </w:r>
      <w:r>
        <w:rPr>
          <w:rFonts w:hint="eastAsia" w:ascii="仿宋" w:hAnsi="仿宋" w:eastAsia="仿宋" w:cs="Arial"/>
          <w:sz w:val="32"/>
          <w:szCs w:val="32"/>
          <w:u w:val="single"/>
          <w:lang w:val="en-US" w:eastAsia="zh-CN"/>
        </w:rPr>
        <w:t>执行异议</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排除执行</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商品房消费者</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无其他住房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长城小标宋体" w:hAnsi="仿宋" w:eastAsia="长城小标宋体" w:cs="Arial"/>
          <w:sz w:val="36"/>
          <w:szCs w:val="36"/>
          <w:lang w:val="en-US" w:eastAsia="zh-CN"/>
        </w:rPr>
      </w:pPr>
      <w:r>
        <w:rPr>
          <w:rFonts w:hint="eastAsia" w:ascii="黑体" w:hAnsi="黑体" w:eastAsia="黑体" w:cs="Arial"/>
          <w:sz w:val="32"/>
          <w:szCs w:val="32"/>
        </w:rPr>
        <w:t>二、案例正文采集</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黑体" w:eastAsia="黑体" w:cs="Arial"/>
          <w:sz w:val="32"/>
          <w:szCs w:val="32"/>
        </w:rPr>
      </w:pPr>
      <w:r>
        <w:rPr>
          <w:rFonts w:hint="eastAsia" w:ascii="长城小标宋体" w:hAnsi="仿宋" w:eastAsia="长城小标宋体" w:cs="Arial"/>
          <w:sz w:val="36"/>
          <w:szCs w:val="36"/>
          <w:lang w:val="en-US" w:eastAsia="zh-CN"/>
        </w:rPr>
        <w:t>广西恒冠建设集团有限公司案外人执行异议之诉</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案情简介</w:t>
      </w:r>
      <w:r>
        <w:rPr>
          <w:rFonts w:hint="eastAsia" w:ascii="黑体" w:hAnsi="黑体" w:eastAsia="黑体" w:cs="Arial"/>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rPr>
      </w:pPr>
      <w:r>
        <w:rPr>
          <w:rFonts w:hint="eastAsia" w:ascii="仿宋" w:hAnsi="仿宋" w:eastAsia="仿宋" w:cs="Arial"/>
          <w:sz w:val="32"/>
          <w:szCs w:val="32"/>
        </w:rPr>
        <w:t>2014年4月14日，王秋祥与</w:t>
      </w:r>
      <w:r>
        <w:rPr>
          <w:rFonts w:hint="eastAsia" w:ascii="仿宋" w:hAnsi="仿宋" w:eastAsia="仿宋" w:cs="Arial"/>
          <w:sz w:val="32"/>
          <w:szCs w:val="32"/>
          <w:lang w:val="en-US" w:eastAsia="zh-CN"/>
        </w:rPr>
        <w:t>北海尚源居房地产开发有限公司（以下简称</w:t>
      </w:r>
      <w:r>
        <w:rPr>
          <w:rFonts w:hint="eastAsia" w:ascii="仿宋" w:hAnsi="仿宋" w:eastAsia="仿宋" w:cs="Arial"/>
          <w:sz w:val="32"/>
          <w:szCs w:val="32"/>
        </w:rPr>
        <w:t>尚源居公司</w:t>
      </w:r>
      <w:r>
        <w:rPr>
          <w:rFonts w:hint="eastAsia" w:ascii="仿宋" w:hAnsi="仿宋" w:eastAsia="仿宋" w:cs="Arial"/>
          <w:sz w:val="32"/>
          <w:szCs w:val="32"/>
          <w:lang w:val="en-US" w:eastAsia="zh-CN"/>
        </w:rPr>
        <w:t>）</w:t>
      </w:r>
      <w:r>
        <w:rPr>
          <w:rFonts w:hint="eastAsia" w:ascii="仿宋" w:hAnsi="仿宋" w:eastAsia="仿宋" w:cs="Arial"/>
          <w:sz w:val="32"/>
          <w:szCs w:val="32"/>
        </w:rPr>
        <w:t>签订《商品房预约合同》一份，约定王秋祥向尚源居公司认购尚源居大厦2单元2501号房，房屋总价款为535705元。合同签订当日，王秋祥向尚源居公司支付购房款535705元。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rPr>
      </w:pPr>
      <w:r>
        <w:rPr>
          <w:rFonts w:hint="eastAsia" w:ascii="仿宋" w:hAnsi="仿宋" w:eastAsia="仿宋" w:cs="Arial"/>
          <w:sz w:val="32"/>
          <w:szCs w:val="32"/>
        </w:rPr>
        <w:t>王秋祥名下登记有位于北海市公园路39号京都花园4号楼B单元0801号房屋和位于北海市湖海路××银××公寓××单元××号房屋。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rPr>
      </w:pPr>
      <w:r>
        <w:rPr>
          <w:rFonts w:hint="eastAsia" w:ascii="仿宋" w:hAnsi="仿宋" w:eastAsia="仿宋" w:cs="Arial"/>
          <w:sz w:val="32"/>
          <w:szCs w:val="32"/>
        </w:rPr>
        <w:t>广西恒冠建设集团有限公司</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以下简称</w:t>
      </w:r>
      <w:r>
        <w:rPr>
          <w:rFonts w:hint="eastAsia" w:ascii="仿宋" w:hAnsi="仿宋" w:eastAsia="仿宋" w:cs="Arial"/>
          <w:sz w:val="32"/>
          <w:szCs w:val="32"/>
        </w:rPr>
        <w:t>恒冠公司</w:t>
      </w:r>
      <w:r>
        <w:rPr>
          <w:rFonts w:hint="eastAsia" w:ascii="仿宋" w:hAnsi="仿宋" w:eastAsia="仿宋" w:cs="Arial"/>
          <w:sz w:val="32"/>
          <w:szCs w:val="32"/>
          <w:lang w:eastAsia="zh-CN"/>
        </w:rPr>
        <w:t>）</w:t>
      </w:r>
      <w:r>
        <w:rPr>
          <w:rFonts w:hint="eastAsia" w:ascii="仿宋" w:hAnsi="仿宋" w:eastAsia="仿宋" w:cs="Arial"/>
          <w:sz w:val="32"/>
          <w:szCs w:val="32"/>
        </w:rPr>
        <w:t>因工程进度款的支付问题与尚源居公司产生纠纷，后恒冠公司向北海仲裁委员会提起仲裁申请，北海仲裁委员会受理该案后，于2015年9月21日委托北海市海城区人民法院（以下简称海城区法院）对尚源居公司价值5511.12万元的财产进行保全，海城区法院于2015年9月22日向北海市房地产交易中心发文预查封包括案涉房屋在内的l42套房产。2016年5月6日，北海仲裁委员会作出调解书，明确尚源居公司尚欠恒冠公司工程款本金3443万元</w:t>
      </w:r>
      <w:r>
        <w:rPr>
          <w:rFonts w:hint="eastAsia" w:ascii="仿宋" w:hAnsi="仿宋" w:eastAsia="仿宋" w:cs="Arial"/>
          <w:sz w:val="32"/>
          <w:szCs w:val="32"/>
          <w:lang w:val="en-US" w:eastAsia="zh-CN"/>
        </w:rPr>
        <w:t>并应支付相应利息</w:t>
      </w:r>
      <w:r>
        <w:rPr>
          <w:rFonts w:hint="eastAsia" w:ascii="仿宋" w:hAnsi="仿宋" w:eastAsia="仿宋" w:cs="Arial"/>
          <w:sz w:val="32"/>
          <w:szCs w:val="32"/>
        </w:rPr>
        <w:t>。同日，北海仲裁委员会作出裁决书，裁决恒冠公司对尚源居公司应付的3443万元“尚源大厦”工程款享有优先受偿权。后因尚源居公司未履行上述生效法律文书确定的义务，恒冠公司向</w:t>
      </w:r>
      <w:r>
        <w:rPr>
          <w:rFonts w:hint="eastAsia" w:ascii="仿宋" w:hAnsi="仿宋" w:eastAsia="仿宋" w:cs="Arial"/>
          <w:sz w:val="32"/>
          <w:szCs w:val="32"/>
          <w:lang w:val="en-US" w:eastAsia="zh-CN"/>
        </w:rPr>
        <w:t>北海市中级人民法院（以下简称</w:t>
      </w:r>
      <w:r>
        <w:rPr>
          <w:rFonts w:hint="eastAsia" w:ascii="仿宋" w:hAnsi="仿宋" w:eastAsia="仿宋" w:cs="Arial"/>
          <w:sz w:val="32"/>
          <w:szCs w:val="32"/>
        </w:rPr>
        <w:t>北海中院</w:t>
      </w:r>
      <w:r>
        <w:rPr>
          <w:rFonts w:hint="eastAsia" w:ascii="仿宋" w:hAnsi="仿宋" w:eastAsia="仿宋" w:cs="Arial"/>
          <w:sz w:val="32"/>
          <w:szCs w:val="32"/>
          <w:lang w:val="en-US" w:eastAsia="zh-CN"/>
        </w:rPr>
        <w:t>）</w:t>
      </w:r>
      <w:r>
        <w:rPr>
          <w:rFonts w:hint="eastAsia" w:ascii="仿宋" w:hAnsi="仿宋" w:eastAsia="仿宋" w:cs="Arial"/>
          <w:sz w:val="32"/>
          <w:szCs w:val="32"/>
        </w:rPr>
        <w:t>申请强制执行。在该案执行过程中，王秋祥以法院查封的案涉房屋系其合法购买为由，提出执行异议，北海中院经审查认为，因案外人王秋祥名下已有其他用于居住的房屋，不符合《执行异议和复议规定》第二十九条要求异议人应符合“所购商品房系用于居住且买受人名下无其他用于居住的房屋”的条件，故异议理由不能成立，遂作出（2016）桂05执异l36号执行裁定书，裁定驳回其异议请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Arial"/>
          <w:b/>
          <w:bCs/>
          <w:sz w:val="32"/>
          <w:szCs w:val="32"/>
          <w:u w:val="single"/>
        </w:rPr>
      </w:pPr>
      <w:r>
        <w:rPr>
          <w:rFonts w:hint="eastAsia" w:ascii="仿宋" w:hAnsi="仿宋" w:eastAsia="仿宋" w:cs="Arial"/>
          <w:sz w:val="32"/>
          <w:szCs w:val="32"/>
          <w:lang w:val="en-US" w:eastAsia="zh-CN"/>
        </w:rPr>
        <w:t>王秋祥不服该裁定，遂向北海中院提起案外人执行异议之诉，要求撤销北海中院作出的</w:t>
      </w:r>
      <w:r>
        <w:rPr>
          <w:rFonts w:hint="eastAsia" w:ascii="仿宋" w:hAnsi="仿宋" w:eastAsia="仿宋" w:cs="Arial"/>
          <w:sz w:val="32"/>
          <w:szCs w:val="32"/>
        </w:rPr>
        <w:t>（2016）桂05执异l36号执行裁定书</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北海中院作出一审判决，驳回王秋祥的诉讼请求。王秋祥不服一审判决，向广西壮族自治区高级人民法院（以下简称广西高院）提起上诉，广西高院作出二审判决：一、撤销一审判决；二、本案不得执行“尚源大厦”2单元2501号商品房。</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Arial"/>
          <w:sz w:val="32"/>
          <w:szCs w:val="32"/>
          <w:lang w:val="en-US" w:eastAsia="zh-CN"/>
        </w:rPr>
      </w:pPr>
      <w:r>
        <w:rPr>
          <w:rFonts w:hint="eastAsia" w:ascii="仿宋" w:hAnsi="仿宋" w:eastAsia="仿宋" w:cs="Arial"/>
          <w:sz w:val="32"/>
          <w:szCs w:val="32"/>
          <w:lang w:val="en-US" w:eastAsia="zh-CN"/>
        </w:rPr>
        <w:t>恒冠公司不服二审判决，委托广西君桂律师事务所梅细扬、梁柳宁律师代理其向最高人民法院（以下简称最高院）提起再审。最高院再审判</w:t>
      </w:r>
      <w:r>
        <w:rPr>
          <w:rFonts w:hint="eastAsia" w:ascii="仿宋" w:hAnsi="仿宋" w:eastAsia="仿宋" w:cs="Arial"/>
          <w:sz w:val="32"/>
          <w:szCs w:val="32"/>
        </w:rPr>
        <w:t>决</w:t>
      </w:r>
      <w:r>
        <w:rPr>
          <w:rFonts w:hint="eastAsia" w:ascii="仿宋" w:hAnsi="仿宋" w:eastAsia="仿宋" w:cs="Arial"/>
          <w:sz w:val="32"/>
          <w:szCs w:val="32"/>
          <w:lang w:val="en-US" w:eastAsia="zh-CN"/>
        </w:rPr>
        <w:t>如下：</w:t>
      </w:r>
      <w:r>
        <w:rPr>
          <w:rFonts w:hint="eastAsia" w:ascii="仿宋" w:hAnsi="仿宋" w:eastAsia="仿宋" w:cs="Arial"/>
          <w:sz w:val="32"/>
          <w:szCs w:val="32"/>
        </w:rPr>
        <w:t>一、撤销</w:t>
      </w:r>
      <w:r>
        <w:rPr>
          <w:rFonts w:hint="eastAsia" w:ascii="仿宋" w:hAnsi="仿宋" w:eastAsia="仿宋" w:cs="Arial"/>
          <w:sz w:val="32"/>
          <w:szCs w:val="32"/>
          <w:lang w:val="en-US" w:eastAsia="zh-CN"/>
        </w:rPr>
        <w:t>广西高院</w:t>
      </w:r>
      <w:r>
        <w:rPr>
          <w:rFonts w:hint="eastAsia" w:ascii="仿宋" w:hAnsi="仿宋" w:eastAsia="仿宋" w:cs="Arial"/>
          <w:sz w:val="32"/>
          <w:szCs w:val="32"/>
        </w:rPr>
        <w:t>（2017）桂民终215号民事判决；二、维持</w:t>
      </w:r>
      <w:r>
        <w:rPr>
          <w:rFonts w:hint="eastAsia" w:ascii="仿宋" w:hAnsi="仿宋" w:eastAsia="仿宋" w:cs="Arial"/>
          <w:sz w:val="32"/>
          <w:szCs w:val="32"/>
          <w:lang w:val="en-US" w:eastAsia="zh-CN"/>
        </w:rPr>
        <w:t>北海中院</w:t>
      </w:r>
      <w:r>
        <w:rPr>
          <w:rFonts w:hint="eastAsia" w:ascii="仿宋" w:hAnsi="仿宋" w:eastAsia="仿宋" w:cs="Arial"/>
          <w:sz w:val="32"/>
          <w:szCs w:val="32"/>
        </w:rPr>
        <w:t>（2016）桂05民初138号民事判决。</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代理意见</w:t>
      </w:r>
      <w:r>
        <w:rPr>
          <w:rFonts w:hint="eastAsia" w:ascii="黑体" w:hAnsi="黑体" w:eastAsia="黑体" w:cs="Arial"/>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lang w:val="en-US" w:eastAsia="zh-CN"/>
        </w:rPr>
      </w:pPr>
      <w:r>
        <w:rPr>
          <w:rFonts w:hint="eastAsia" w:ascii="仿宋" w:hAnsi="仿宋" w:eastAsia="仿宋" w:cs="Arial"/>
          <w:sz w:val="32"/>
          <w:szCs w:val="32"/>
        </w:rPr>
        <w:t>我们认为，本案系</w:t>
      </w:r>
      <w:r>
        <w:rPr>
          <w:rFonts w:hint="eastAsia" w:ascii="仿宋" w:hAnsi="仿宋" w:eastAsia="仿宋" w:cs="Arial"/>
          <w:sz w:val="32"/>
          <w:szCs w:val="32"/>
          <w:lang w:val="en-US" w:eastAsia="zh-CN"/>
        </w:rPr>
        <w:t>案外人执行异议之诉</w:t>
      </w:r>
      <w:r>
        <w:rPr>
          <w:rFonts w:hint="eastAsia" w:ascii="仿宋" w:hAnsi="仿宋" w:eastAsia="仿宋" w:cs="Arial"/>
          <w:sz w:val="32"/>
          <w:szCs w:val="32"/>
        </w:rPr>
        <w:t>，主要争议焦点为</w:t>
      </w:r>
      <w:r>
        <w:rPr>
          <w:rFonts w:hint="eastAsia" w:ascii="仿宋" w:hAnsi="仿宋" w:eastAsia="仿宋" w:cs="Arial"/>
          <w:sz w:val="32"/>
          <w:szCs w:val="32"/>
          <w:lang w:val="en-US" w:eastAsia="zh-CN"/>
        </w:rPr>
        <w:t>本案是否符合提起再审的条件以及</w:t>
      </w:r>
      <w:r>
        <w:rPr>
          <w:rFonts w:hint="eastAsia" w:ascii="仿宋" w:hAnsi="仿宋" w:eastAsia="仿宋" w:cs="Arial"/>
          <w:sz w:val="32"/>
          <w:szCs w:val="32"/>
        </w:rPr>
        <w:t>王秋祥对案涉房屋是否享有排除强制执行的民事权益。</w:t>
      </w:r>
      <w:r>
        <w:rPr>
          <w:rFonts w:hint="eastAsia" w:ascii="仿宋" w:hAnsi="仿宋" w:eastAsia="仿宋" w:cs="Arial"/>
          <w:sz w:val="32"/>
          <w:szCs w:val="32"/>
          <w:lang w:val="en-US" w:eastAsia="zh-CN"/>
        </w:rPr>
        <w:t>具体如下：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本案有新的证据，足以推翻原判决。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rPr>
      </w:pPr>
      <w:r>
        <w:rPr>
          <w:rFonts w:hint="eastAsia" w:ascii="仿宋" w:hAnsi="仿宋" w:eastAsia="仿宋" w:cs="Arial"/>
          <w:sz w:val="32"/>
          <w:szCs w:val="32"/>
        </w:rPr>
        <w:t>原审判决后，恒冠公司从北海市不动产登记中心调取了《不动产登记档案查询结果证明》，证明案涉房屋存在在建工程抵押。根据《中华人民共和国物权法》第一百九十一条第二款的规定，抵押期间，抵押人未经抵押权人同意，不得转让抵押财产。《中华人民共和国担保法》第四十九条第一款也规定，抵押人未通知抵押权人或者未告知受让人的，转让行为无效。王秋祥和尚源居公司签订的《商品房预约合同》既未取得抵押权人的同意，亦未通知抵押权人，依法应当认定为无效。因《商品房预约合同》无效，王秋祥对案涉房屋的物权不能实现，其据以排除执行的民事权益，即对案涉房屋享有的可期待并可确定实现的物权不复存在。故王秋祥不是本案的适格主体。</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cs="黑体"/>
          <w:bCs/>
          <w:sz w:val="32"/>
          <w:szCs w:val="32"/>
        </w:rPr>
      </w:pPr>
      <w:r>
        <w:rPr>
          <w:rFonts w:hint="eastAsia" w:ascii="黑体" w:hAnsi="黑体" w:eastAsia="黑体" w:cs="黑体"/>
          <w:sz w:val="32"/>
          <w:szCs w:val="32"/>
        </w:rPr>
        <w:t>原审适用法律确有错误。</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736" w:firstLineChars="230"/>
        <w:rPr>
          <w:rFonts w:ascii="仿宋" w:hAnsi="仿宋" w:eastAsia="仿宋" w:cs="Arial"/>
          <w:bCs/>
          <w:sz w:val="32"/>
          <w:szCs w:val="32"/>
        </w:rPr>
      </w:pPr>
      <w:r>
        <w:rPr>
          <w:rFonts w:hint="eastAsia" w:ascii="仿宋" w:hAnsi="仿宋" w:eastAsia="仿宋" w:cs="Arial"/>
          <w:sz w:val="32"/>
          <w:szCs w:val="32"/>
        </w:rPr>
        <w:t>本案应适用《最高人民法院关于人民法院办理执行异议和复议案件若干问题的规定》（以下简称《执行异议和复议规定》）第二十九条来认定王秋祥对案涉房屋是否享有排除强制执行的民事权益，不应适用《最高人民法院关于建设工程价款优先受偿权问题的批复》（以下简称《建设工程优先受偿权批复》）第二条的规定。前者属于新法和上位法，后者属于旧法和下位法，故本案应优先适用新法即《执行异议和复议规定》。恒冠公司被尚源居公司拖欠的债务属于建设工程款，其对案涉工程享有优先受偿权，该优先权的设立并不是解决经营收益权的问题，而是解决农民工工资被拖欠的问题，进而有效保障建筑工人获得工资等基本生存权，以维护社会稳定。王秋祥在本案中的购房行为是一种商业投资，是赚取收益的经营性行为。根据《执行异议和复议规定》第二十九条的规定，王秋祥对案涉房屋不享有足以排除强制执行的民事权益，其排除执行的请求不应得到支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判决结果</w:t>
      </w:r>
      <w:r>
        <w:rPr>
          <w:rFonts w:hint="eastAsia" w:ascii="黑体" w:hAnsi="黑体" w:eastAsia="黑体" w:cs="Arial"/>
          <w:sz w:val="32"/>
          <w:szCs w:val="32"/>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rPr>
          <w:rFonts w:hint="eastAsia" w:ascii="仿宋" w:hAnsi="仿宋" w:eastAsia="仿宋" w:cs="Arial"/>
          <w:sz w:val="32"/>
          <w:szCs w:val="32"/>
        </w:rPr>
      </w:pPr>
      <w:r>
        <w:rPr>
          <w:rFonts w:hint="eastAsia" w:ascii="仿宋" w:hAnsi="仿宋" w:eastAsia="仿宋" w:cs="Arial"/>
          <w:sz w:val="32"/>
          <w:szCs w:val="32"/>
        </w:rPr>
        <w:t>撤销广西</w:t>
      </w:r>
      <w:r>
        <w:rPr>
          <w:rFonts w:hint="eastAsia" w:ascii="仿宋" w:hAnsi="仿宋" w:eastAsia="仿宋" w:cs="Arial"/>
          <w:sz w:val="32"/>
          <w:szCs w:val="32"/>
          <w:lang w:val="en-US" w:eastAsia="zh-CN"/>
        </w:rPr>
        <w:t>高院</w:t>
      </w:r>
      <w:r>
        <w:rPr>
          <w:rFonts w:hint="eastAsia" w:ascii="仿宋" w:hAnsi="仿宋" w:eastAsia="仿宋" w:cs="Arial"/>
          <w:sz w:val="32"/>
          <w:szCs w:val="32"/>
        </w:rPr>
        <w:t>（2017）桂民终215号民事判决；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ascii="仿宋" w:hAnsi="仿宋" w:eastAsia="仿宋" w:cs="Arial"/>
          <w:bCs/>
          <w:sz w:val="32"/>
          <w:szCs w:val="32"/>
        </w:rPr>
      </w:pPr>
      <w:r>
        <w:rPr>
          <w:rFonts w:hint="eastAsia" w:ascii="仿宋" w:hAnsi="仿宋" w:eastAsia="仿宋" w:cs="Arial"/>
          <w:sz w:val="32"/>
          <w:szCs w:val="32"/>
        </w:rPr>
        <w:t>二、维持</w:t>
      </w:r>
      <w:r>
        <w:rPr>
          <w:rFonts w:hint="eastAsia" w:ascii="仿宋" w:hAnsi="仿宋" w:eastAsia="仿宋" w:cs="Arial"/>
          <w:sz w:val="32"/>
          <w:szCs w:val="32"/>
          <w:lang w:val="en-US" w:eastAsia="zh-CN"/>
        </w:rPr>
        <w:t>北海中院</w:t>
      </w:r>
      <w:r>
        <w:rPr>
          <w:rFonts w:hint="eastAsia" w:ascii="仿宋" w:hAnsi="仿宋" w:eastAsia="仿宋" w:cs="Arial"/>
          <w:sz w:val="32"/>
          <w:szCs w:val="32"/>
        </w:rPr>
        <w:t>（2016）桂05民初138号民事判决。</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olor w:val="000000"/>
          <w:sz w:val="32"/>
          <w:szCs w:val="32"/>
        </w:rPr>
        <w:t>裁判文书</w:t>
      </w:r>
      <w:r>
        <w:rPr>
          <w:rFonts w:hint="eastAsia" w:ascii="黑体" w:hAnsi="黑体" w:eastAsia="黑体" w:cs="Arial"/>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lang w:val="en-US" w:eastAsia="zh-CN"/>
        </w:rPr>
        <w:t>再审法院</w:t>
      </w:r>
      <w:r>
        <w:rPr>
          <w:rFonts w:hint="eastAsia" w:ascii="仿宋" w:hAnsi="仿宋" w:eastAsia="仿宋"/>
          <w:color w:val="000000"/>
          <w:sz w:val="32"/>
          <w:szCs w:val="32"/>
        </w:rPr>
        <w:t>认为，</w:t>
      </w:r>
      <w:r>
        <w:rPr>
          <w:rFonts w:hint="eastAsia" w:ascii="仿宋" w:hAnsi="仿宋" w:eastAsia="仿宋"/>
          <w:color w:val="000000"/>
          <w:sz w:val="32"/>
          <w:szCs w:val="32"/>
          <w:lang w:val="en-US" w:eastAsia="zh-CN"/>
        </w:rPr>
        <w:t>本案</w:t>
      </w:r>
      <w:r>
        <w:rPr>
          <w:rFonts w:hint="eastAsia" w:ascii="仿宋" w:hAnsi="仿宋" w:eastAsia="仿宋"/>
          <w:color w:val="000000"/>
          <w:sz w:val="32"/>
          <w:szCs w:val="32"/>
        </w:rPr>
        <w:t>从以下两个方面进行分析：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对本案争议问题的判断如何适用法律</w:t>
      </w:r>
      <w:r>
        <w:rPr>
          <w:rFonts w:hint="eastAsia" w:ascii="黑体" w:hAnsi="黑体" w:eastAsia="黑体" w:cs="黑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rPr>
        <w:t>虽然执行异议之诉和执行异议程序性质上的差异决定了审查标准本应有不同，但鉴于二者均具有审查案外人对执行标的是否享有足以排除强制执行的民事权益的功能，故《执行异议和复议规定》中属于实质审查的条款，可以作为执行异议之诉案件审理的参照。《执行异议和复议规定》第二十九条规定基于对消费者生存权这一价值的维护，赋予消费者对买受房屋的物权期待权以排除执行的效力，即便申请执行人对该房屋享有建设工程价款优先受偿权、担保物权等权利，法律也应更优先保护消费者的物权期待权。就本案而言，王秋祥作为购房者，其对抗的是恒冠公司的建设工程价款优先受偿权，故本案需适用《执行异议和复议规定》第二十九条来判断王秋祥对案涉房屋是否享有排除强制执行的民事权益。</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rPr>
        <w:t>2002年施行的《建设工程优先受偿权批复》第二条规定，消费者交付购买商品房的全部或者大部分款项后，承包人就该商品房享有的工程价款优先受偿权不得对抗买受人。虽然该条亦规定了购买房屋的消费者对抗享有工程价款优先受偿权的承包人的条件，但该条规定实质已经融入到2015年施行的《执行异议和复议规定》第二十九条规定的条款之中，且第二十九条又进一步细化规定了三个要件。在新的司法解释针对买受人对登记在被执行的房地产开发企业名下的商品房提出异议明确予以规定后，二审判决直接适用该批复进行裁判，属于适用法律不当。</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lang w:eastAsia="zh-CN"/>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本案是否符合《执行异议和复议规定》第二十九条的情形</w:t>
      </w:r>
      <w:r>
        <w:rPr>
          <w:rFonts w:hint="eastAsia" w:ascii="黑体" w:hAnsi="黑体" w:eastAsia="黑体" w:cs="黑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rPr>
        <w:t>《执行异议和复议规定》第二十九条规定：“金钱债权执行中，买受人对登记在被执行的房地产开发企业名下的商品房提出异议，符合下列情形且其权利能够排除执行的，人民法院应予支持：（一）在人民法院查封之前已签订合法有效的书面买卖合同；（二）所购商品房系用于居住且买受人名下无其他用于居住的房屋；（三）已支付的价款超过合同约定总价款的百分之五十。”首先，本案证据能够证明，双方在案涉房屋被查封之前已签订合法有效的书面买卖合同。海城区法院查封案涉房屋的时间是2015年9月22日，而《商品房预约合同》的订立时间是2014年4月14日。可见，《商品房预约合同》订立在前，案涉房屋被查封在后。至于案涉房屋是否存在未经抵押权人同意转让而无效的问题。根据恒冠公司提交的《不动产登记档案查询结果证明》情况看，案涉商品房是先订立转让合同，后办理抵押，故《商品房预约合同》并不因所转让的商品房对外办理抵押而无效。即便先办理抵押再进行转让，商品房买卖合同也不因房屋转让未经抵押权人同意而无效，并不影响本案的审查认定。因此，恒冠公司提交的新证据《不动产登记档案查询结果证明》，并不足以推翻二审判决。其次，本案证据能够证明，王秋祥已支付全部购房款。</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rPr>
        <w:t>但是，本案并不符合《执行异议和复议规定》第二十九条第二项规定的情形。根据查明的事实，王秋祥除购买的北海市“尚源大厦”2单元2501号、2503号、2504号、2505号的4套房屋外，其名下另有2套房屋，即位于北海市公园路39号京都花园4号楼B单元0801号和北海市湖海路××银××公寓××单元××号的2套房屋。虽然对于《执行异议和复议规定》第二十九条第二项规定中的“买受人名下无其他用于居住的房屋”，不应机械限于套数的理解。如原有住房不能满足现有家庭成员的居住要求，再购买房屋是为了对居住环境进行必要的改善，其仍属于满足生存权的合理消费范畴。但王秋祥名下已有多套房屋，且其在再审庭审中自诉，“尚源大厦”其中2套用于居住，另外2套用于出租。故难以认定王秋祥购买本案的2501号房屋以及关联案件的房屋系基于对居住环境进行必要的改善，而非进行商业性投资。王秋祥在再审中还称其已将原登记在名下的两套房屋出售，即使王秋祥的该陈述属实，亦是二审判决作出之后新发生的事实，并不符合“买受人名下无其他用于居住的房屋”的情形。综上，本案虽符合《执行异议和复议规定》第二十九条第一项和第三项的情形，但不符合该规定第二项的情形，故王秋祥对案涉房屋不享有足以排除强制执行的民事权益。</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eastAsia" w:ascii="仿宋" w:hAnsi="仿宋" w:eastAsia="仿宋"/>
          <w:color w:val="000000"/>
          <w:sz w:val="32"/>
          <w:szCs w:val="32"/>
        </w:rPr>
      </w:pPr>
      <w:r>
        <w:rPr>
          <w:rFonts w:hint="eastAsia" w:ascii="仿宋" w:hAnsi="仿宋" w:eastAsia="仿宋"/>
          <w:color w:val="000000"/>
          <w:sz w:val="32"/>
          <w:szCs w:val="32"/>
        </w:rPr>
        <w:t>综上所述，恒冠公司的再审请求成立，</w:t>
      </w:r>
      <w:r>
        <w:rPr>
          <w:rFonts w:hint="eastAsia" w:ascii="仿宋" w:hAnsi="仿宋" w:eastAsia="仿宋"/>
          <w:color w:val="000000"/>
          <w:sz w:val="32"/>
          <w:szCs w:val="32"/>
          <w:lang w:val="en-US" w:eastAsia="zh-CN"/>
        </w:rPr>
        <w:t>再审法院</w:t>
      </w:r>
      <w:r>
        <w:rPr>
          <w:rFonts w:hint="eastAsia" w:ascii="仿宋" w:hAnsi="仿宋" w:eastAsia="仿宋"/>
          <w:color w:val="000000"/>
          <w:sz w:val="32"/>
          <w:szCs w:val="32"/>
        </w:rPr>
        <w:t>予以支持。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案例评析</w:t>
      </w:r>
      <w:r>
        <w:rPr>
          <w:rFonts w:hint="eastAsia" w:ascii="黑体" w:hAnsi="黑体" w:eastAsia="黑体" w:cs="Arial"/>
          <w:sz w:val="32"/>
          <w:szCs w:val="32"/>
        </w:rPr>
        <w:t>】</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rPr>
          <w:rFonts w:hint="eastAsia" w:ascii="黑体" w:hAnsi="黑体" w:eastAsia="黑体" w:cs="Arial"/>
          <w:sz w:val="32"/>
          <w:szCs w:val="32"/>
          <w:lang w:val="en-US" w:eastAsia="zh-CN"/>
        </w:rPr>
      </w:pPr>
      <w:r>
        <w:rPr>
          <w:rFonts w:hint="eastAsia" w:ascii="黑体" w:hAnsi="黑体" w:eastAsia="黑体" w:cs="Arial"/>
          <w:sz w:val="32"/>
          <w:szCs w:val="32"/>
          <w:lang w:val="en-US" w:eastAsia="zh-CN"/>
        </w:rPr>
        <w:t>执行异议之诉如何适用《执行异议和复议规定》？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center"/>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执行异议和复议规定》的立法目的是“为了规范人民法院办理执行异议和复议案件”，因此，执行异议案件直接适用是毫无疑问的。但是，执行异议之诉属于民事诉讼法规定的与执行异议不同的诉讼程序，该法对于执行异议之诉案件并非必须直接适用。2019年9月11日，最高人民法院发布《全国法院民商事审判工作会议纪要》，其中第125条、127条中明确规定了，法院在审理执行异议之诉案件中，可参照适用《执行异议和复议规定》第二十八条、第二十九条的规定。由此可见，今后在案外人执行异议之诉案件中，在完全符合《执行异议和复议规定》的情况下，可以直接适用该规定。就本案而言，本案在最高法发布会议纪要之前作出裁判，正是考虑到《执行异议和复议规定》虽是适用于执行程序的司法解释，但体现了对案外人实体权利的保护，与现行法律、法规及其他司法解释也不相冲突，所以在案外人异议之诉中，也参照适用，对案外人就执行标的是否享有足以排除强制执行的民事权益进行实质审查，依法作出判决。</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lang w:val="en-US" w:eastAsia="zh-CN"/>
        </w:rPr>
        <w:t>二、不同类不动产买受人如何适用《执行异议和复议规定》第二十八条、第二十九条的规定</w:t>
      </w:r>
      <w:r>
        <w:rPr>
          <w:rFonts w:hint="eastAsia" w:ascii="黑体" w:hAnsi="黑体" w:eastAsia="黑体" w:cs="Arial"/>
          <w:sz w:val="32"/>
          <w:szCs w:val="32"/>
        </w:rPr>
        <w:t>？</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消费者购房人所提执行</w:t>
      </w:r>
      <w:bookmarkStart w:id="0" w:name="_GoBack"/>
      <w:bookmarkEnd w:id="0"/>
      <w:r>
        <w:rPr>
          <w:rFonts w:hint="eastAsia" w:ascii="楷体" w:hAnsi="楷体" w:eastAsia="楷体" w:cs="楷体"/>
          <w:sz w:val="32"/>
          <w:szCs w:val="32"/>
          <w:lang w:val="en-US" w:eastAsia="zh-CN"/>
        </w:rPr>
        <w:t>异议之诉</w:t>
      </w:r>
      <w:r>
        <w:rPr>
          <w:rFonts w:hint="eastAsia" w:ascii="楷体" w:hAnsi="楷体" w:eastAsia="楷体" w:cs="楷体"/>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Arial"/>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Arial"/>
          <w:sz w:val="32"/>
          <w:szCs w:val="32"/>
          <w:lang w:val="en-US" w:eastAsia="zh-CN"/>
        </w:rPr>
        <w:t>根据实体权利价值基础的不同，不动产买受人可以分为一般不动产买受人和消费者购房人</w:t>
      </w:r>
      <w:r>
        <w:rPr>
          <w:rFonts w:hint="eastAsia" w:ascii="仿宋" w:hAnsi="仿宋" w:eastAsia="仿宋" w:cs="Arial"/>
          <w:sz w:val="32"/>
          <w:szCs w:val="32"/>
        </w:rPr>
        <w:t>。</w:t>
      </w:r>
      <w:r>
        <w:rPr>
          <w:rFonts w:hint="eastAsia" w:ascii="仿宋" w:hAnsi="仿宋" w:eastAsia="仿宋"/>
          <w:color w:val="000000"/>
          <w:sz w:val="32"/>
          <w:szCs w:val="32"/>
          <w:lang w:val="en-US" w:eastAsia="zh-CN"/>
        </w:rPr>
        <w:t>最主要是判断是否符合</w:t>
      </w:r>
      <w:r>
        <w:rPr>
          <w:rFonts w:hint="eastAsia" w:ascii="仿宋" w:hAnsi="仿宋" w:eastAsia="仿宋" w:cs="Arial"/>
          <w:sz w:val="32"/>
          <w:szCs w:val="32"/>
          <w:lang w:val="en-US" w:eastAsia="zh-CN"/>
        </w:rPr>
        <w:t>构成消费者购房人的条件，即是否符合</w:t>
      </w:r>
      <w:r>
        <w:rPr>
          <w:rFonts w:hint="eastAsia" w:ascii="仿宋" w:hAnsi="仿宋" w:eastAsia="仿宋"/>
          <w:color w:val="000000"/>
          <w:sz w:val="32"/>
          <w:szCs w:val="32"/>
          <w:lang w:val="en-US" w:eastAsia="zh-CN"/>
        </w:rPr>
        <w:t>《执行异议和复议规定》第二十九条的</w:t>
      </w:r>
      <w:r>
        <w:rPr>
          <w:rFonts w:hint="eastAsia" w:ascii="仿宋" w:hAnsi="仿宋" w:eastAsia="仿宋" w:cs="Arial"/>
          <w:sz w:val="32"/>
          <w:szCs w:val="32"/>
        </w:rPr>
        <w:t>规定</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该规定中争议最大的是</w:t>
      </w:r>
      <w:r>
        <w:rPr>
          <w:rFonts w:hint="eastAsia" w:ascii="仿宋" w:hAnsi="仿宋" w:eastAsia="仿宋"/>
          <w:color w:val="000000"/>
          <w:sz w:val="32"/>
          <w:szCs w:val="32"/>
        </w:rPr>
        <w:t>所购商品房系用于居住且买受人名下无其他用于居住的房屋</w:t>
      </w:r>
      <w:r>
        <w:rPr>
          <w:rFonts w:hint="eastAsia" w:ascii="仿宋" w:hAnsi="仿宋" w:eastAsia="仿宋"/>
          <w:color w:val="000000"/>
          <w:sz w:val="32"/>
          <w:szCs w:val="32"/>
          <w:lang w:val="en-US" w:eastAsia="zh-CN"/>
        </w:rPr>
        <w:t>的理解和适用。在判断是否为消费者购房人时，</w:t>
      </w:r>
      <w:r>
        <w:rPr>
          <w:rFonts w:hint="eastAsia" w:ascii="仿宋" w:hAnsi="仿宋" w:eastAsia="仿宋" w:cs="Arial"/>
          <w:sz w:val="32"/>
          <w:szCs w:val="32"/>
          <w:lang w:val="en-US" w:eastAsia="zh-CN"/>
        </w:rPr>
        <w:t>应综合案件的实际情况，进行利益衡量，作出取舍和判断。如该买受人名下虽然已有房屋，但购买的房屋在面积上仍然属于满足基本居住需要的，依然可以认定为消费者购房人。在价款支付问题上，如果支付的价款接近于合同约定总价款百分之五十,但商品房买受人已按照合同约定将剩余价款支付给抵押权人或者按照人民法院的要求交付的，也应支持消费者购房人排除执行的请求。</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消费者购房人物权期待权与抵押权的关系。</w:t>
      </w:r>
    </w:p>
    <w:p>
      <w:pPr>
        <w:keepNext w:val="0"/>
        <w:keepLines w:val="0"/>
        <w:pageBreakBefore w:val="0"/>
        <w:numPr>
          <w:ilvl w:val="0"/>
          <w:numId w:val="0"/>
        </w:numPr>
        <w:kinsoku/>
        <w:wordWrap/>
        <w:overflowPunct/>
        <w:topLinePunct w:val="0"/>
        <w:autoSpaceDE/>
        <w:autoSpaceDN/>
        <w:bidi w:val="0"/>
        <w:adjustRightInd/>
        <w:snapToGrid/>
        <w:spacing w:line="600" w:lineRule="exact"/>
        <w:rPr>
          <w:rFonts w:hint="default" w:ascii="仿宋" w:hAnsi="仿宋" w:eastAsia="仿宋" w:cs="Arial"/>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Arial"/>
          <w:sz w:val="32"/>
          <w:szCs w:val="32"/>
        </w:rPr>
        <w:t>根据《建设工程优先受偿权批复》第1条、第2条的规定，交付全部或者大部分款项的商品房消费者的权利优先于抵押权人的抵押权，故抵押权人申请执行登记在房地产开发企业名下但已销售给消费者的商品房，消费者提出执行异议的，人民法院依法予以支持。这里的商品房消费者应当仅限于</w:t>
      </w:r>
      <w:r>
        <w:rPr>
          <w:rFonts w:hint="eastAsia" w:ascii="仿宋" w:hAnsi="仿宋" w:eastAsia="仿宋" w:cs="Arial"/>
          <w:sz w:val="32"/>
          <w:szCs w:val="32"/>
          <w:lang w:val="en-US" w:eastAsia="zh-CN"/>
        </w:rPr>
        <w:t>符合</w:t>
      </w:r>
      <w:r>
        <w:rPr>
          <w:rFonts w:hint="eastAsia" w:ascii="仿宋" w:hAnsi="仿宋" w:eastAsia="仿宋"/>
          <w:color w:val="000000"/>
          <w:sz w:val="32"/>
          <w:szCs w:val="32"/>
          <w:lang w:val="en-US" w:eastAsia="zh-CN"/>
        </w:rPr>
        <w:t>《执行异议和复议规定》第二十九条</w:t>
      </w:r>
      <w:r>
        <w:rPr>
          <w:rFonts w:hint="eastAsia" w:ascii="仿宋" w:hAnsi="仿宋" w:eastAsia="仿宋" w:cs="Arial"/>
          <w:sz w:val="32"/>
          <w:szCs w:val="32"/>
        </w:rPr>
        <w:t>规定的</w:t>
      </w:r>
      <w:r>
        <w:rPr>
          <w:rFonts w:hint="eastAsia" w:ascii="仿宋" w:hAnsi="仿宋" w:eastAsia="仿宋" w:cs="Arial"/>
          <w:sz w:val="32"/>
          <w:szCs w:val="32"/>
          <w:lang w:val="en-US" w:eastAsia="zh-CN"/>
        </w:rPr>
        <w:t>不动产买受人</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即消费者购房人</w:t>
      </w:r>
      <w:r>
        <w:rPr>
          <w:rFonts w:hint="eastAsia" w:ascii="仿宋" w:hAnsi="仿宋" w:eastAsia="仿宋" w:cs="Arial"/>
          <w:sz w:val="32"/>
          <w:szCs w:val="32"/>
        </w:rPr>
        <w:t>。</w:t>
      </w:r>
      <w:r>
        <w:rPr>
          <w:rFonts w:hint="eastAsia" w:ascii="仿宋" w:hAnsi="仿宋" w:eastAsia="仿宋" w:cs="Arial"/>
          <w:sz w:val="32"/>
          <w:szCs w:val="32"/>
          <w:lang w:val="en-US" w:eastAsia="zh-CN"/>
        </w:rPr>
        <w:t>除此之外的一般不动产买受人</w:t>
      </w:r>
      <w:r>
        <w:rPr>
          <w:rFonts w:hint="eastAsia" w:ascii="仿宋" w:hAnsi="仿宋" w:eastAsia="仿宋" w:cs="Arial"/>
          <w:sz w:val="32"/>
          <w:szCs w:val="32"/>
        </w:rPr>
        <w:t>，不适用上述处理规则。</w:t>
      </w:r>
      <w:r>
        <w:rPr>
          <w:rFonts w:hint="eastAsia" w:ascii="仿宋" w:hAnsi="仿宋" w:eastAsia="仿宋" w:cs="Arial"/>
          <w:sz w:val="32"/>
          <w:szCs w:val="32"/>
          <w:lang w:val="en-US" w:eastAsia="zh-CN"/>
        </w:rPr>
        <w:t>在商品房预售中，抵押权人申请执行登记在房地产开发企业名下但已销售给消费者的商品房，消费者提出执行异议的，两者权利发生冲突时优先保护消费者购房人的权利。消费者购房人的概念相对应的是房地产企业，因此，二手房并无适用的余地。二手房购房人的权利不应当优先于抵押权人，除非抵押权人同意出卖人转让涉案房屋。</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一般不动产买受人所提执行异议之诉。</w:t>
      </w:r>
    </w:p>
    <w:p>
      <w:pPr>
        <w:keepNext w:val="0"/>
        <w:keepLines w:val="0"/>
        <w:pageBreakBefore w:val="0"/>
        <w:numPr>
          <w:ilvl w:val="0"/>
          <w:numId w:val="0"/>
        </w:numPr>
        <w:kinsoku/>
        <w:wordWrap/>
        <w:overflowPunct/>
        <w:topLinePunct w:val="0"/>
        <w:autoSpaceDE/>
        <w:autoSpaceDN/>
        <w:bidi w:val="0"/>
        <w:adjustRightInd/>
        <w:snapToGrid/>
        <w:spacing w:line="600" w:lineRule="exac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 xml:space="preserve">    该类诉讼参照适用《执行异议复议规定》第二十八条“金钱债权执行中，买受人对登记在被执行人名下的不动产提出异议，符合下列情形且其权利能够排除执行的，人民法院应予支持：（一）在人民法院查封之前已签订合法有效的书面买卖合同；（二）在人民法院查封之前已合法占有该不动产；   </w:t>
      </w:r>
    </w:p>
    <w:p>
      <w:pPr>
        <w:keepNext w:val="0"/>
        <w:keepLines w:val="0"/>
        <w:pageBreakBefore w:val="0"/>
        <w:numPr>
          <w:ilvl w:val="0"/>
          <w:numId w:val="0"/>
        </w:numPr>
        <w:kinsoku/>
        <w:wordWrap/>
        <w:overflowPunct/>
        <w:topLinePunct w:val="0"/>
        <w:autoSpaceDE/>
        <w:autoSpaceDN/>
        <w:bidi w:val="0"/>
        <w:adjustRightInd/>
        <w:snapToGrid/>
        <w:spacing w:line="600" w:lineRule="exact"/>
        <w:rPr>
          <w:rFonts w:hint="default" w:ascii="仿宋" w:hAnsi="仿宋" w:eastAsia="仿宋" w:cs="Arial"/>
          <w:sz w:val="32"/>
          <w:szCs w:val="32"/>
          <w:lang w:val="en-US" w:eastAsia="zh-CN"/>
        </w:rPr>
      </w:pPr>
      <w:r>
        <w:rPr>
          <w:rFonts w:hint="eastAsia" w:ascii="仿宋" w:hAnsi="仿宋" w:eastAsia="仿宋" w:cs="Arial"/>
          <w:sz w:val="32"/>
          <w:szCs w:val="32"/>
          <w:lang w:val="en-US" w:eastAsia="zh-CN"/>
        </w:rPr>
        <w:t>（三）已支付全部价款，或者已按照合同约定支付部分价款且将剩余价款按照人民法院的要求交付执行；（四）非因买受人自身原因未办理过户登记”的规定。就本案而言，</w:t>
      </w:r>
      <w:r>
        <w:rPr>
          <w:rFonts w:hint="eastAsia" w:ascii="仿宋" w:hAnsi="仿宋" w:eastAsia="仿宋"/>
          <w:color w:val="000000"/>
          <w:sz w:val="32"/>
          <w:szCs w:val="32"/>
        </w:rPr>
        <w:t>王秋祥</w:t>
      </w:r>
      <w:r>
        <w:rPr>
          <w:rFonts w:hint="eastAsia" w:ascii="仿宋" w:hAnsi="仿宋" w:eastAsia="仿宋"/>
          <w:color w:val="000000"/>
          <w:sz w:val="32"/>
          <w:szCs w:val="32"/>
          <w:lang w:val="en-US" w:eastAsia="zh-CN"/>
        </w:rPr>
        <w:t>并不符合消费者购房人的身份，作为一般不动产买受人也不符合</w:t>
      </w:r>
      <w:r>
        <w:rPr>
          <w:rFonts w:hint="eastAsia" w:ascii="仿宋" w:hAnsi="仿宋" w:eastAsia="仿宋" w:cs="Arial"/>
          <w:sz w:val="32"/>
          <w:szCs w:val="32"/>
          <w:lang w:val="en-US" w:eastAsia="zh-CN"/>
        </w:rPr>
        <w:t>《执行异议复议规定》第二十八条的规定，因此，</w:t>
      </w:r>
      <w:r>
        <w:rPr>
          <w:rFonts w:hint="eastAsia" w:ascii="仿宋" w:hAnsi="仿宋" w:eastAsia="仿宋"/>
          <w:color w:val="000000"/>
          <w:sz w:val="32"/>
          <w:szCs w:val="32"/>
        </w:rPr>
        <w:t>王秋祥对案涉房屋不享有足以排除强制执行的民事权益。</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结语和建议</w:t>
      </w:r>
      <w:r>
        <w:rPr>
          <w:rFonts w:hint="eastAsia" w:ascii="黑体" w:hAnsi="黑体" w:eastAsia="黑体" w:cs="Arial"/>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Arial"/>
          <w:sz w:val="32"/>
          <w:szCs w:val="32"/>
          <w:lang w:val="en-US" w:eastAsia="zh-CN"/>
        </w:rPr>
      </w:pPr>
      <w:r>
        <w:rPr>
          <w:rFonts w:hint="eastAsia" w:ascii="仿宋" w:hAnsi="仿宋" w:eastAsia="仿宋" w:cs="Arial"/>
          <w:sz w:val="32"/>
          <w:szCs w:val="32"/>
        </w:rPr>
        <w:t>本案涵盖了执行异议之诉</w:t>
      </w:r>
      <w:r>
        <w:rPr>
          <w:rFonts w:hint="eastAsia" w:ascii="仿宋" w:hAnsi="仿宋" w:eastAsia="仿宋" w:cs="Arial"/>
          <w:sz w:val="32"/>
          <w:szCs w:val="32"/>
          <w:lang w:val="en-US" w:eastAsia="zh-CN"/>
        </w:rPr>
        <w:t>中不同类不动产买受人如何适用《执行异议和复议规定》第二十八条、第二十九条的法律规定的问题。根据案件实际情况，将不动产买受人分为一般不动产买受人和消费者购房人</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一般不动产买受人适用第二十八条的规定，消费者购房人第二十九条的规定。在司法实践过程中，正确判定不动产买受人的类型及根据实际情况适用对应法律是实践中的难点。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黑体" w:hAnsi="黑体" w:eastAsia="黑体"/>
          <w:sz w:val="36"/>
          <w:szCs w:val="36"/>
        </w:rPr>
      </w:pPr>
      <w:r>
        <w:rPr>
          <w:rFonts w:hint="eastAsia" w:ascii="仿宋" w:hAnsi="仿宋" w:eastAsia="仿宋" w:cs="Arial"/>
          <w:sz w:val="32"/>
          <w:szCs w:val="32"/>
        </w:rPr>
        <w:t>建议</w:t>
      </w:r>
      <w:r>
        <w:rPr>
          <w:rFonts w:hint="eastAsia" w:ascii="仿宋" w:hAnsi="仿宋" w:eastAsia="仿宋" w:cs="Arial"/>
          <w:sz w:val="32"/>
          <w:szCs w:val="32"/>
          <w:lang w:val="en-US" w:eastAsia="zh-CN"/>
        </w:rPr>
        <w:t>今后在</w:t>
      </w:r>
      <w:r>
        <w:rPr>
          <w:rFonts w:hint="eastAsia" w:ascii="仿宋" w:hAnsi="仿宋" w:eastAsia="仿宋" w:cs="Arial"/>
          <w:sz w:val="32"/>
          <w:szCs w:val="32"/>
        </w:rPr>
        <w:t>遇到这类纠纷，</w:t>
      </w:r>
      <w:r>
        <w:rPr>
          <w:rFonts w:hint="eastAsia" w:ascii="仿宋" w:hAnsi="仿宋" w:eastAsia="仿宋" w:cs="Arial"/>
          <w:sz w:val="32"/>
          <w:szCs w:val="32"/>
          <w:lang w:val="en-US" w:eastAsia="zh-CN"/>
        </w:rPr>
        <w:t>首先确定被执行人是否属于</w:t>
      </w:r>
      <w:r>
        <w:rPr>
          <w:rFonts w:hint="eastAsia" w:ascii="仿宋" w:hAnsi="仿宋" w:eastAsia="仿宋"/>
          <w:color w:val="000000"/>
          <w:sz w:val="32"/>
          <w:szCs w:val="32"/>
        </w:rPr>
        <w:t>房地产开发企业</w:t>
      </w:r>
      <w:r>
        <w:rPr>
          <w:rFonts w:hint="eastAsia" w:ascii="仿宋" w:hAnsi="仿宋" w:eastAsia="仿宋"/>
          <w:color w:val="000000"/>
          <w:sz w:val="32"/>
          <w:szCs w:val="32"/>
          <w:lang w:val="en-US" w:eastAsia="zh-CN"/>
        </w:rPr>
        <w:t>以及买受人是否符合</w:t>
      </w:r>
      <w:r>
        <w:rPr>
          <w:rFonts w:hint="eastAsia" w:ascii="仿宋" w:hAnsi="仿宋" w:eastAsia="仿宋" w:cs="Arial"/>
          <w:sz w:val="32"/>
          <w:szCs w:val="32"/>
          <w:lang w:val="en-US" w:eastAsia="zh-CN"/>
        </w:rPr>
        <w:t>《执行异议和复议规定》第二十八条规定的情形，在确定买受人的身份后，根据实际情况分别适用相应的法律规定</w:t>
      </w:r>
      <w:r>
        <w:rPr>
          <w:rFonts w:hint="eastAsia" w:ascii="仿宋" w:hAnsi="仿宋" w:eastAsia="仿宋" w:cs="Arial"/>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rPr>
          <w:rFonts w:ascii="黑体" w:hAnsi="黑体" w:eastAsia="黑体"/>
          <w:sz w:val="44"/>
          <w:szCs w:val="44"/>
        </w:rPr>
      </w:pPr>
    </w:p>
    <w:p>
      <w:pPr>
        <w:keepNext w:val="0"/>
        <w:keepLines w:val="0"/>
        <w:pageBreakBefore w:val="0"/>
        <w:kinsoku/>
        <w:wordWrap/>
        <w:overflowPunct/>
        <w:topLinePunct w:val="0"/>
        <w:autoSpaceDE/>
        <w:autoSpaceDN/>
        <w:bidi w:val="0"/>
        <w:adjustRightInd/>
        <w:snapToGrid/>
        <w:spacing w:line="600" w:lineRule="exact"/>
        <w:jc w:val="both"/>
        <w:rPr>
          <w:rFonts w:hint="eastAsia" w:ascii="黑体" w:hAnsi="黑体" w:eastAsia="黑体"/>
          <w:sz w:val="44"/>
          <w:szCs w:val="44"/>
        </w:rPr>
      </w:pPr>
    </w:p>
    <w:p>
      <w:pPr>
        <w:keepNext w:val="0"/>
        <w:keepLines w:val="0"/>
        <w:pageBreakBefore w:val="0"/>
        <w:kinsoku/>
        <w:wordWrap/>
        <w:overflowPunct/>
        <w:topLinePunct w:val="0"/>
        <w:autoSpaceDE/>
        <w:autoSpaceDN/>
        <w:bidi w:val="0"/>
        <w:adjustRightInd/>
        <w:snapToGrid/>
        <w:spacing w:line="600" w:lineRule="exact"/>
        <w:jc w:val="center"/>
        <w:rPr>
          <w:rFonts w:hint="eastAsia" w:ascii="黑体" w:hAnsi="黑体" w:eastAsia="黑体"/>
          <w:sz w:val="44"/>
          <w:szCs w:val="44"/>
        </w:rPr>
      </w:pPr>
    </w:p>
    <w:p>
      <w:pPr>
        <w:keepNext w:val="0"/>
        <w:keepLines w:val="0"/>
        <w:pageBreakBefore w:val="0"/>
        <w:kinsoku/>
        <w:wordWrap/>
        <w:overflowPunct/>
        <w:topLinePunct w:val="0"/>
        <w:autoSpaceDE/>
        <w:autoSpaceDN/>
        <w:bidi w:val="0"/>
        <w:adjustRightInd/>
        <w:snapToGrid/>
        <w:spacing w:line="600" w:lineRule="exact"/>
      </w:pPr>
    </w:p>
    <w:sectPr>
      <w:footerReference r:id="rId3" w:type="default"/>
      <w:pgSz w:w="11906" w:h="16838"/>
      <w:pgMar w:top="2098"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3CA81"/>
    <w:multiLevelType w:val="singleLevel"/>
    <w:tmpl w:val="CA93CA81"/>
    <w:lvl w:ilvl="0" w:tentative="0">
      <w:start w:val="1"/>
      <w:numFmt w:val="chineseCounting"/>
      <w:suff w:val="nothing"/>
      <w:lvlText w:val="%1、"/>
      <w:lvlJc w:val="left"/>
      <w:rPr>
        <w:rFonts w:hint="eastAsia"/>
      </w:rPr>
    </w:lvl>
  </w:abstractNum>
  <w:abstractNum w:abstractNumId="1">
    <w:nsid w:val="F543DFAD"/>
    <w:multiLevelType w:val="singleLevel"/>
    <w:tmpl w:val="F543DFAD"/>
    <w:lvl w:ilvl="0" w:tentative="0">
      <w:start w:val="1"/>
      <w:numFmt w:val="chineseCounting"/>
      <w:suff w:val="nothing"/>
      <w:lvlText w:val="%1、"/>
      <w:lvlJc w:val="left"/>
      <w:rPr>
        <w:rFonts w:hint="eastAsia"/>
      </w:rPr>
    </w:lvl>
  </w:abstractNum>
  <w:abstractNum w:abstractNumId="2">
    <w:nsid w:val="351FDEE7"/>
    <w:multiLevelType w:val="singleLevel"/>
    <w:tmpl w:val="351FDEE7"/>
    <w:lvl w:ilvl="0" w:tentative="0">
      <w:start w:val="1"/>
      <w:numFmt w:val="chineseCounting"/>
      <w:suff w:val="nothing"/>
      <w:lvlText w:val="%1、"/>
      <w:lvlJc w:val="left"/>
      <w:rPr>
        <w:rFonts w:hint="eastAsia"/>
      </w:rPr>
    </w:lvl>
  </w:abstractNum>
  <w:abstractNum w:abstractNumId="3">
    <w:nsid w:val="7EF11470"/>
    <w:multiLevelType w:val="singleLevel"/>
    <w:tmpl w:val="7EF1147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04C8"/>
    <w:rsid w:val="00DD0C63"/>
    <w:rsid w:val="0200595E"/>
    <w:rsid w:val="02E04475"/>
    <w:rsid w:val="02ED35FE"/>
    <w:rsid w:val="02F42B67"/>
    <w:rsid w:val="03A56CF2"/>
    <w:rsid w:val="05872EC0"/>
    <w:rsid w:val="059B0C80"/>
    <w:rsid w:val="05D02BED"/>
    <w:rsid w:val="05D40E02"/>
    <w:rsid w:val="06296EB3"/>
    <w:rsid w:val="06340421"/>
    <w:rsid w:val="06607208"/>
    <w:rsid w:val="06C036C3"/>
    <w:rsid w:val="06D6591A"/>
    <w:rsid w:val="075150FD"/>
    <w:rsid w:val="078463B5"/>
    <w:rsid w:val="07F31962"/>
    <w:rsid w:val="083760DF"/>
    <w:rsid w:val="08775C3A"/>
    <w:rsid w:val="08D00E7B"/>
    <w:rsid w:val="08DD2E80"/>
    <w:rsid w:val="09040D2C"/>
    <w:rsid w:val="090425D1"/>
    <w:rsid w:val="0A464B60"/>
    <w:rsid w:val="0C677325"/>
    <w:rsid w:val="0D200034"/>
    <w:rsid w:val="0D2E3C01"/>
    <w:rsid w:val="0D651645"/>
    <w:rsid w:val="0D8A2F5A"/>
    <w:rsid w:val="0DAD2A1F"/>
    <w:rsid w:val="0DE93610"/>
    <w:rsid w:val="0F907285"/>
    <w:rsid w:val="10AE42C0"/>
    <w:rsid w:val="10E911B7"/>
    <w:rsid w:val="113C3459"/>
    <w:rsid w:val="12506E18"/>
    <w:rsid w:val="13AB5044"/>
    <w:rsid w:val="13B2342E"/>
    <w:rsid w:val="14B36F50"/>
    <w:rsid w:val="16642E0F"/>
    <w:rsid w:val="16C63AA5"/>
    <w:rsid w:val="18221667"/>
    <w:rsid w:val="189E2A12"/>
    <w:rsid w:val="1A5455AA"/>
    <w:rsid w:val="1B6C17F5"/>
    <w:rsid w:val="1BFD586C"/>
    <w:rsid w:val="1DAE1902"/>
    <w:rsid w:val="1E2D7B38"/>
    <w:rsid w:val="1E774DBB"/>
    <w:rsid w:val="1FEB48F1"/>
    <w:rsid w:val="21342901"/>
    <w:rsid w:val="221B50A9"/>
    <w:rsid w:val="22FA533E"/>
    <w:rsid w:val="238D37BF"/>
    <w:rsid w:val="2466162D"/>
    <w:rsid w:val="249C40B6"/>
    <w:rsid w:val="25094225"/>
    <w:rsid w:val="25494753"/>
    <w:rsid w:val="26160C81"/>
    <w:rsid w:val="26233FF7"/>
    <w:rsid w:val="277D55D3"/>
    <w:rsid w:val="27B43A51"/>
    <w:rsid w:val="27C87BA6"/>
    <w:rsid w:val="28EF7435"/>
    <w:rsid w:val="29754C3A"/>
    <w:rsid w:val="2A7B73E0"/>
    <w:rsid w:val="2A7D113A"/>
    <w:rsid w:val="2C10410D"/>
    <w:rsid w:val="2C8056C3"/>
    <w:rsid w:val="2D6B5754"/>
    <w:rsid w:val="2DDE720A"/>
    <w:rsid w:val="2DE554DA"/>
    <w:rsid w:val="2EC14B6F"/>
    <w:rsid w:val="2F363AF1"/>
    <w:rsid w:val="2FE7383F"/>
    <w:rsid w:val="2FFF52B7"/>
    <w:rsid w:val="31161718"/>
    <w:rsid w:val="311D45F7"/>
    <w:rsid w:val="31BE7D5C"/>
    <w:rsid w:val="33D01E45"/>
    <w:rsid w:val="33D175FF"/>
    <w:rsid w:val="34276D2E"/>
    <w:rsid w:val="34806066"/>
    <w:rsid w:val="36556DB7"/>
    <w:rsid w:val="36A64B4E"/>
    <w:rsid w:val="371D447C"/>
    <w:rsid w:val="372B6726"/>
    <w:rsid w:val="37330DEE"/>
    <w:rsid w:val="38AE49F1"/>
    <w:rsid w:val="393C4A2D"/>
    <w:rsid w:val="39F73413"/>
    <w:rsid w:val="3ABD11B6"/>
    <w:rsid w:val="3AF7770A"/>
    <w:rsid w:val="3B1D0BE3"/>
    <w:rsid w:val="3B39646E"/>
    <w:rsid w:val="3C125AB4"/>
    <w:rsid w:val="3D9919CC"/>
    <w:rsid w:val="3DD04A85"/>
    <w:rsid w:val="3F7C638B"/>
    <w:rsid w:val="3F8F1B28"/>
    <w:rsid w:val="3FD437EC"/>
    <w:rsid w:val="40795A99"/>
    <w:rsid w:val="40796DF5"/>
    <w:rsid w:val="4153629A"/>
    <w:rsid w:val="41A633B0"/>
    <w:rsid w:val="41E96EA5"/>
    <w:rsid w:val="43363135"/>
    <w:rsid w:val="447F1274"/>
    <w:rsid w:val="4653214C"/>
    <w:rsid w:val="47F72131"/>
    <w:rsid w:val="48670AD6"/>
    <w:rsid w:val="48727DEC"/>
    <w:rsid w:val="48AF728E"/>
    <w:rsid w:val="4A2A73F6"/>
    <w:rsid w:val="4CCB055B"/>
    <w:rsid w:val="4CF47392"/>
    <w:rsid w:val="4D45506B"/>
    <w:rsid w:val="4D76343A"/>
    <w:rsid w:val="4D7A2C6E"/>
    <w:rsid w:val="4DA05427"/>
    <w:rsid w:val="4E637972"/>
    <w:rsid w:val="4F583376"/>
    <w:rsid w:val="4FCC6E11"/>
    <w:rsid w:val="4FD70EFC"/>
    <w:rsid w:val="50594D68"/>
    <w:rsid w:val="506E0F9F"/>
    <w:rsid w:val="51DD3396"/>
    <w:rsid w:val="51EF7CA0"/>
    <w:rsid w:val="52E90E24"/>
    <w:rsid w:val="54AF0ACA"/>
    <w:rsid w:val="54D94907"/>
    <w:rsid w:val="54E65346"/>
    <w:rsid w:val="54FE6790"/>
    <w:rsid w:val="57740CFD"/>
    <w:rsid w:val="587B22D0"/>
    <w:rsid w:val="58FD417F"/>
    <w:rsid w:val="59135C1C"/>
    <w:rsid w:val="59236DA2"/>
    <w:rsid w:val="59371105"/>
    <w:rsid w:val="5986040D"/>
    <w:rsid w:val="5A3862B9"/>
    <w:rsid w:val="5AA30ADC"/>
    <w:rsid w:val="5B365CB4"/>
    <w:rsid w:val="5B452DC2"/>
    <w:rsid w:val="5BAF079E"/>
    <w:rsid w:val="5BD758DE"/>
    <w:rsid w:val="5C352185"/>
    <w:rsid w:val="5C4076FE"/>
    <w:rsid w:val="5D903B64"/>
    <w:rsid w:val="5E120321"/>
    <w:rsid w:val="5E143C76"/>
    <w:rsid w:val="5E7127F6"/>
    <w:rsid w:val="5F405A43"/>
    <w:rsid w:val="5F4069AA"/>
    <w:rsid w:val="5F857CFD"/>
    <w:rsid w:val="61324EBD"/>
    <w:rsid w:val="634927B4"/>
    <w:rsid w:val="64A52C30"/>
    <w:rsid w:val="64FE6262"/>
    <w:rsid w:val="653F36D2"/>
    <w:rsid w:val="661732C0"/>
    <w:rsid w:val="66451E16"/>
    <w:rsid w:val="67357D77"/>
    <w:rsid w:val="6736586A"/>
    <w:rsid w:val="67683361"/>
    <w:rsid w:val="67BE795C"/>
    <w:rsid w:val="68195ABE"/>
    <w:rsid w:val="684D3D2C"/>
    <w:rsid w:val="685C70D7"/>
    <w:rsid w:val="68C11715"/>
    <w:rsid w:val="6B294561"/>
    <w:rsid w:val="6B7C58A3"/>
    <w:rsid w:val="6BB30A4E"/>
    <w:rsid w:val="6C254672"/>
    <w:rsid w:val="6CC41743"/>
    <w:rsid w:val="6D96614B"/>
    <w:rsid w:val="6DAF097E"/>
    <w:rsid w:val="6E7D4FF8"/>
    <w:rsid w:val="6EA65043"/>
    <w:rsid w:val="6EFB5AFC"/>
    <w:rsid w:val="6F5D73C1"/>
    <w:rsid w:val="6F770EDF"/>
    <w:rsid w:val="6F783F18"/>
    <w:rsid w:val="70855907"/>
    <w:rsid w:val="70D82044"/>
    <w:rsid w:val="70D933AD"/>
    <w:rsid w:val="71A13F5C"/>
    <w:rsid w:val="72A87BFC"/>
    <w:rsid w:val="73202ADF"/>
    <w:rsid w:val="733D141E"/>
    <w:rsid w:val="738D086B"/>
    <w:rsid w:val="738E6B83"/>
    <w:rsid w:val="73F03301"/>
    <w:rsid w:val="749075BF"/>
    <w:rsid w:val="74951013"/>
    <w:rsid w:val="74E94DA8"/>
    <w:rsid w:val="7539044A"/>
    <w:rsid w:val="759C2D3E"/>
    <w:rsid w:val="761F6DA1"/>
    <w:rsid w:val="7645234F"/>
    <w:rsid w:val="76DB3351"/>
    <w:rsid w:val="770370CC"/>
    <w:rsid w:val="770F3566"/>
    <w:rsid w:val="77996C62"/>
    <w:rsid w:val="77A113FA"/>
    <w:rsid w:val="782F22F3"/>
    <w:rsid w:val="78F4794D"/>
    <w:rsid w:val="7AA04810"/>
    <w:rsid w:val="7ACB00AE"/>
    <w:rsid w:val="7ADF1796"/>
    <w:rsid w:val="7AE71050"/>
    <w:rsid w:val="7B9B6EA2"/>
    <w:rsid w:val="7C932B8F"/>
    <w:rsid w:val="7D0E1567"/>
    <w:rsid w:val="7E2D44D8"/>
    <w:rsid w:val="7EDE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2021-07-07T01:15:00Z</dcterms:created>
  <dc:creator>南宁市律师协会</dc:creator>
  <cp:lastModifiedBy>秋鸢落樱</cp:lastModifiedBy>
  <dcterms:modified xsi:type="dcterms:W3CDTF">2021-12-21T09:48:16Z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AEE361DB11FC46E3BAC5364A542D8C2D</vt:lpwstr>
  </property>
</Properties>
</file>