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left="0"/>
        <w:jc w:val="center"/>
        <w:rPr>
          <w:rFonts w:ascii="黑体" w:hAnsi="黑体" w:eastAsia="黑体"/>
          <w:color w:val="auto"/>
          <w:sz w:val="44"/>
          <w:szCs w:val="44"/>
        </w:rPr>
      </w:pPr>
      <w:r>
        <w:rPr>
          <w:rFonts w:hint="eastAsia" w:ascii="黑体" w:hAnsi="黑体" w:eastAsia="黑体"/>
          <w:color w:val="auto"/>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color w:val="auto"/>
          <w:sz w:val="32"/>
          <w:szCs w:val="32"/>
        </w:rPr>
      </w:pPr>
      <w:r>
        <w:rPr>
          <w:rFonts w:hint="eastAsia" w:ascii="黑体" w:hAnsi="黑体" w:eastAsia="黑体" w:cs="Arial"/>
          <w:color w:val="auto"/>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Arial"/>
          <w:color w:val="auto"/>
          <w:sz w:val="32"/>
          <w:szCs w:val="32"/>
          <w:u w:val="single"/>
          <w:lang w:val="en-US" w:eastAsia="zh-CN"/>
        </w:rPr>
      </w:pPr>
      <w:r>
        <w:rPr>
          <w:rFonts w:hint="eastAsia" w:ascii="仿宋" w:hAnsi="仿宋" w:eastAsia="仿宋" w:cs="Arial"/>
          <w:color w:val="auto"/>
          <w:sz w:val="32"/>
          <w:szCs w:val="32"/>
        </w:rPr>
        <w:t>案例类型：</w:t>
      </w:r>
      <w:r>
        <w:rPr>
          <w:rFonts w:hint="eastAsia" w:ascii="仿宋" w:hAnsi="仿宋" w:eastAsia="仿宋" w:cs="Arial"/>
          <w:color w:val="auto"/>
          <w:sz w:val="32"/>
          <w:szCs w:val="32"/>
          <w:u w:val="single"/>
        </w:rPr>
        <w:t xml:space="preserve">律师诉讼案例                         </w:t>
      </w:r>
      <w:r>
        <w:rPr>
          <w:rFonts w:hint="eastAsia" w:ascii="仿宋" w:hAnsi="仿宋" w:eastAsia="仿宋" w:cs="Arial"/>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u w:val="single"/>
        </w:rPr>
      </w:pPr>
      <w:r>
        <w:rPr>
          <w:rFonts w:hint="eastAsia" w:ascii="仿宋" w:hAnsi="仿宋" w:eastAsia="仿宋" w:cs="Arial"/>
          <w:color w:val="auto"/>
          <w:sz w:val="32"/>
          <w:szCs w:val="32"/>
        </w:rPr>
        <w:t>业务类型：</w:t>
      </w:r>
      <w:r>
        <w:rPr>
          <w:rFonts w:hint="eastAsia" w:ascii="仿宋" w:hAnsi="仿宋" w:eastAsia="仿宋" w:cs="Arial"/>
          <w:color w:val="auto"/>
          <w:sz w:val="32"/>
          <w:szCs w:val="32"/>
          <w:u w:val="single"/>
        </w:rPr>
        <w:t xml:space="preserve">公司诉讼                           </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Arial"/>
          <w:color w:val="auto"/>
          <w:sz w:val="32"/>
          <w:szCs w:val="32"/>
          <w:u w:val="single"/>
          <w:lang w:val="en-US" w:eastAsia="zh-CN"/>
        </w:rPr>
      </w:pPr>
      <w:r>
        <w:rPr>
          <w:rFonts w:hint="eastAsia" w:ascii="仿宋" w:hAnsi="仿宋" w:eastAsia="仿宋" w:cs="Arial"/>
          <w:color w:val="auto"/>
          <w:sz w:val="32"/>
          <w:szCs w:val="32"/>
        </w:rPr>
        <w:t>法院判决时间：</w:t>
      </w:r>
      <w:r>
        <w:rPr>
          <w:rFonts w:hint="eastAsia" w:ascii="仿宋" w:hAnsi="仿宋" w:eastAsia="仿宋" w:cs="Arial"/>
          <w:color w:val="auto"/>
          <w:sz w:val="32"/>
          <w:szCs w:val="32"/>
          <w:u w:val="single"/>
        </w:rPr>
        <w:t>2018年6月7日</w:t>
      </w:r>
      <w:r>
        <w:rPr>
          <w:rFonts w:hint="eastAsia" w:ascii="仿宋" w:hAnsi="仿宋" w:eastAsia="仿宋" w:cs="Arial"/>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Arial"/>
          <w:color w:val="auto"/>
          <w:sz w:val="32"/>
          <w:szCs w:val="32"/>
          <w:u w:val="single"/>
          <w:lang w:val="en-US" w:eastAsia="zh-CN"/>
        </w:rPr>
      </w:pPr>
      <w:r>
        <w:rPr>
          <w:rFonts w:hint="eastAsia" w:ascii="仿宋" w:hAnsi="仿宋" w:eastAsia="仿宋" w:cs="Arial"/>
          <w:color w:val="auto"/>
          <w:sz w:val="32"/>
          <w:szCs w:val="32"/>
        </w:rPr>
        <w:t>法院名称：</w:t>
      </w:r>
      <w:r>
        <w:rPr>
          <w:rFonts w:hint="eastAsia" w:ascii="仿宋" w:hAnsi="仿宋" w:eastAsia="仿宋" w:cs="Arial"/>
          <w:color w:val="auto"/>
          <w:sz w:val="32"/>
          <w:szCs w:val="32"/>
          <w:u w:val="single"/>
        </w:rPr>
        <w:t>广西壮族自治区梧州市中级人民法院</w:t>
      </w:r>
      <w:r>
        <w:rPr>
          <w:rFonts w:hint="eastAsia" w:ascii="仿宋" w:hAnsi="仿宋" w:eastAsia="仿宋" w:cs="Arial"/>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Arial"/>
          <w:color w:val="auto"/>
          <w:sz w:val="32"/>
          <w:szCs w:val="32"/>
          <w:u w:val="single"/>
          <w:lang w:val="en-US" w:eastAsia="zh-CN"/>
        </w:rPr>
      </w:pPr>
      <w:r>
        <w:rPr>
          <w:rFonts w:hint="eastAsia" w:ascii="仿宋" w:hAnsi="仿宋" w:eastAsia="仿宋" w:cs="Arial"/>
          <w:color w:val="auto"/>
          <w:sz w:val="32"/>
          <w:szCs w:val="32"/>
        </w:rPr>
        <w:t>代理律师姓名：</w:t>
      </w:r>
      <w:r>
        <w:rPr>
          <w:rFonts w:hint="eastAsia" w:ascii="仿宋" w:hAnsi="仿宋" w:eastAsia="仿宋" w:cs="Arial"/>
          <w:color w:val="auto"/>
          <w:sz w:val="32"/>
          <w:szCs w:val="32"/>
          <w:u w:val="single"/>
        </w:rPr>
        <w:t>李桂玲</w:t>
      </w:r>
      <w:r>
        <w:rPr>
          <w:rFonts w:hint="eastAsia" w:ascii="仿宋" w:hAnsi="仿宋" w:eastAsia="仿宋" w:cs="Arial"/>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Arial"/>
          <w:color w:val="auto"/>
          <w:sz w:val="32"/>
          <w:szCs w:val="32"/>
          <w:u w:val="single"/>
          <w:lang w:val="en-US" w:eastAsia="zh-CN"/>
        </w:rPr>
      </w:pPr>
      <w:r>
        <w:rPr>
          <w:rFonts w:hint="eastAsia" w:ascii="仿宋" w:hAnsi="仿宋" w:eastAsia="仿宋" w:cs="Arial"/>
          <w:color w:val="auto"/>
          <w:sz w:val="32"/>
          <w:szCs w:val="32"/>
        </w:rPr>
        <w:t>律师事务所名称：</w:t>
      </w:r>
      <w:r>
        <w:rPr>
          <w:rFonts w:hint="eastAsia" w:ascii="仿宋" w:hAnsi="仿宋" w:eastAsia="仿宋" w:cs="Arial"/>
          <w:color w:val="auto"/>
          <w:sz w:val="32"/>
          <w:szCs w:val="32"/>
          <w:u w:val="single"/>
        </w:rPr>
        <w:t>广西慧拓律师事务所</w:t>
      </w:r>
      <w:r>
        <w:rPr>
          <w:rFonts w:hint="eastAsia" w:ascii="仿宋" w:hAnsi="仿宋" w:eastAsia="仿宋" w:cs="Arial"/>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Arial"/>
          <w:color w:val="auto"/>
          <w:sz w:val="32"/>
          <w:szCs w:val="32"/>
          <w:u w:val="single"/>
          <w:lang w:val="en-US" w:eastAsia="zh-CN"/>
        </w:rPr>
      </w:pPr>
      <w:r>
        <w:rPr>
          <w:rFonts w:hint="eastAsia" w:ascii="仿宋" w:hAnsi="仿宋" w:eastAsia="仿宋"/>
          <w:color w:val="auto"/>
          <w:sz w:val="32"/>
          <w:szCs w:val="32"/>
        </w:rPr>
        <w:t>供</w:t>
      </w:r>
      <w:r>
        <w:rPr>
          <w:rFonts w:ascii="仿宋" w:hAnsi="仿宋" w:eastAsia="仿宋"/>
          <w:color w:val="auto"/>
          <w:sz w:val="32"/>
          <w:szCs w:val="32"/>
        </w:rPr>
        <w:t>稿</w:t>
      </w:r>
      <w:r>
        <w:rPr>
          <w:rFonts w:hint="eastAsia" w:ascii="仿宋" w:hAnsi="仿宋" w:eastAsia="仿宋" w:cs="Arial"/>
          <w:color w:val="auto"/>
          <w:sz w:val="32"/>
          <w:szCs w:val="32"/>
        </w:rPr>
        <w:t>：</w:t>
      </w:r>
      <w:r>
        <w:rPr>
          <w:rFonts w:hint="eastAsia" w:ascii="仿宋" w:hAnsi="仿宋" w:eastAsia="仿宋" w:cs="Arial"/>
          <w:color w:val="auto"/>
          <w:sz w:val="32"/>
          <w:szCs w:val="32"/>
          <w:u w:val="single"/>
        </w:rPr>
        <w:t>北京市中闻（南宁）律师事务所</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single"/>
        </w:rPr>
        <w:t>李桂玲</w:t>
      </w:r>
      <w:r>
        <w:rPr>
          <w:rFonts w:hint="eastAsia" w:ascii="仿宋" w:hAnsi="仿宋" w:eastAsia="仿宋" w:cs="Arial"/>
          <w:color w:val="auto"/>
          <w:sz w:val="32"/>
          <w:szCs w:val="32"/>
          <w:u w:val="single"/>
          <w:lang w:val="en-US" w:eastAsia="zh-CN"/>
        </w:rPr>
        <w:t xml:space="preserve">        </w:t>
      </w:r>
    </w:p>
    <w:p>
      <w:pPr>
        <w:pStyle w:val="7"/>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hint="default" w:ascii="仿宋_GB2312" w:hAnsi="黑体" w:eastAsia="仿宋_GB2312"/>
          <w:color w:val="auto"/>
          <w:sz w:val="32"/>
          <w:szCs w:val="32"/>
          <w:u w:val="single"/>
          <w:lang w:val="en-US" w:eastAsia="zh-CN"/>
        </w:rPr>
      </w:pPr>
      <w:r>
        <w:rPr>
          <w:rFonts w:hint="eastAsia" w:ascii="仿宋" w:hAnsi="仿宋" w:eastAsia="仿宋" w:cs="Times New Roman"/>
          <w:color w:val="auto"/>
          <w:kern w:val="2"/>
          <w:sz w:val="32"/>
          <w:szCs w:val="32"/>
          <w:lang w:val="en-US" w:eastAsia="zh-CN" w:bidi="ar-SA"/>
        </w:rPr>
        <w:t xml:space="preserve">审稿（实名，逐级）： </w:t>
      </w:r>
      <w:r>
        <w:rPr>
          <w:rFonts w:hint="eastAsia" w:ascii="仿宋_GB2312" w:hAnsi="黑体" w:eastAsia="仿宋_GB2312"/>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u w:val="single"/>
        </w:rPr>
      </w:pPr>
      <w:r>
        <w:rPr>
          <w:rFonts w:hint="eastAsia" w:ascii="仿宋" w:hAnsi="仿宋" w:eastAsia="仿宋" w:cs="Arial"/>
          <w:color w:val="auto"/>
          <w:sz w:val="32"/>
          <w:szCs w:val="32"/>
        </w:rPr>
        <w:t>检索主题词：</w:t>
      </w:r>
      <w:r>
        <w:rPr>
          <w:rFonts w:hint="eastAsia" w:ascii="仿宋" w:hAnsi="仿宋" w:eastAsia="仿宋"/>
          <w:color w:val="auto"/>
          <w:sz w:val="32"/>
          <w:szCs w:val="32"/>
          <w:u w:val="single"/>
        </w:rPr>
        <w:t xml:space="preserve"> 隐名股东  </w:t>
      </w:r>
      <w:r>
        <w:rPr>
          <w:rFonts w:hint="eastAsia" w:ascii="仿宋" w:hAnsi="仿宋" w:eastAsia="仿宋" w:cs="Arial"/>
          <w:color w:val="auto"/>
          <w:sz w:val="32"/>
          <w:szCs w:val="32"/>
          <w:u w:val="single"/>
        </w:rPr>
        <w:t xml:space="preserve">股东资格确认纠纷  案外人执行异议之诉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color w:val="auto"/>
          <w:sz w:val="32"/>
          <w:szCs w:val="32"/>
        </w:rPr>
      </w:pPr>
      <w:r>
        <w:rPr>
          <w:rFonts w:hint="eastAsia" w:ascii="黑体" w:hAnsi="黑体" w:eastAsia="黑体" w:cs="Arial"/>
          <w:color w:val="auto"/>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jc w:val="center"/>
        <w:textAlignment w:val="auto"/>
        <w:rPr>
          <w:rFonts w:ascii="长城小标宋体" w:hAnsi="仿宋" w:eastAsia="长城小标宋体" w:cs="Arial"/>
          <w:b w:val="0"/>
          <w:bCs/>
          <w:color w:val="auto"/>
          <w:sz w:val="36"/>
          <w:szCs w:val="36"/>
        </w:rPr>
      </w:pPr>
      <w:r>
        <w:rPr>
          <w:rFonts w:hint="eastAsia" w:ascii="长城小标宋体" w:hAnsi="仿宋" w:eastAsia="长城小标宋体" w:cs="Arial"/>
          <w:b w:val="0"/>
          <w:bCs/>
          <w:color w:val="auto"/>
          <w:sz w:val="36"/>
          <w:szCs w:val="36"/>
        </w:rPr>
        <w:t>隐名股东伍某某股东资格确认纠纷案</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s="Arial"/>
          <w:color w:val="auto"/>
          <w:sz w:val="32"/>
          <w:szCs w:val="32"/>
        </w:rPr>
        <w:t>案情简介</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2012年5月23日本案上诉人（一审原告）伍某某与被上诉人（一审被告）鼎晟公司、一审第三人徐某、罗某签订《协议书》，约定四方共同以鼎晟公司名义投资入股被上诉人（一审被告）南宁武鸣某村镇银行，出资总额为408万元，占南宁武鸣某村镇银行6.8%的股份，其中鼎晟公司出资163.2万元，占南宁武鸣某村镇银行股份的2.72%，伍某某、徐某、罗某各出资81.6万元，分别占南宁武鸣某村镇银行股份的1.36%。同日伍某某将89.5万元投资款交付鼎晟公司。2012年7月19日南宁武鸣某村镇银行经批准设立，鼎晟公司为其股东，出资额为408万元，持股比例为6.8%。</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2014年1月6日,梧州市万秀区人民法院依案外债权人申请冻结了鼎晟公司在南宁武鸣某村镇银行的全部股权。伍某某以案外人身份提出执行异议,被梧州市万秀区人民法院以伍某某提交的</w:t>
      </w:r>
      <w:r>
        <w:rPr>
          <w:rFonts w:hint="eastAsia" w:ascii="宋体" w:hAnsi="宋体" w:cs="宋体"/>
          <w:color w:val="auto"/>
          <w:sz w:val="32"/>
          <w:szCs w:val="32"/>
        </w:rPr>
        <w:t>《</w:t>
      </w:r>
      <w:r>
        <w:rPr>
          <w:rFonts w:hint="eastAsia" w:ascii="仿宋" w:hAnsi="仿宋" w:eastAsia="仿宋" w:cs="Arial"/>
          <w:color w:val="auto"/>
          <w:sz w:val="32"/>
          <w:szCs w:val="32"/>
        </w:rPr>
        <w:t>协议书</w:t>
      </w:r>
      <w:r>
        <w:rPr>
          <w:rFonts w:hint="eastAsia" w:ascii="宋体" w:hAnsi="宋体" w:cs="宋体"/>
          <w:color w:val="auto"/>
          <w:sz w:val="32"/>
          <w:szCs w:val="32"/>
        </w:rPr>
        <w:t>》</w:t>
      </w:r>
      <w:r>
        <w:rPr>
          <w:rFonts w:hint="eastAsia" w:ascii="仿宋" w:hAnsi="仿宋" w:eastAsia="仿宋" w:cs="Arial"/>
          <w:color w:val="auto"/>
          <w:sz w:val="32"/>
          <w:szCs w:val="32"/>
        </w:rPr>
        <w:t>不能证实其为南宁武鸣某村镇银行股东为由裁定驳回伍某某的执行异议。伍某某不服向梧州市中级人民法院申请复议。梧州市中级人民法院认为执行法院应适用</w:t>
      </w:r>
      <w:r>
        <w:rPr>
          <w:rFonts w:hint="eastAsia" w:ascii="宋体" w:hAnsi="宋体" w:cs="宋体"/>
          <w:color w:val="auto"/>
          <w:sz w:val="32"/>
          <w:szCs w:val="32"/>
        </w:rPr>
        <w:t>《</w:t>
      </w:r>
      <w:r>
        <w:rPr>
          <w:rFonts w:hint="eastAsia" w:ascii="仿宋" w:hAnsi="仿宋" w:eastAsia="仿宋" w:cs="Arial"/>
          <w:color w:val="auto"/>
          <w:sz w:val="32"/>
          <w:szCs w:val="32"/>
        </w:rPr>
        <w:t>中华人民共和国民事诉讼法</w:t>
      </w:r>
      <w:r>
        <w:rPr>
          <w:rFonts w:hint="eastAsia" w:ascii="宋体" w:hAnsi="宋体" w:cs="宋体"/>
          <w:color w:val="auto"/>
          <w:sz w:val="32"/>
          <w:szCs w:val="32"/>
        </w:rPr>
        <w:t>》</w:t>
      </w:r>
      <w:r>
        <w:rPr>
          <w:rFonts w:hint="eastAsia" w:ascii="仿宋" w:hAnsi="仿宋" w:eastAsia="仿宋" w:cs="Arial"/>
          <w:color w:val="auto"/>
          <w:sz w:val="32"/>
          <w:szCs w:val="32"/>
        </w:rPr>
        <w:t>第二百二十七条的规定,赋予案外人提起诉讼的救济途径，并裁定撤销梧州市万秀区人民法院（2014）万法执异字第228号执行裁定书,发回该院重新审查。2014年6月26日梧州市万秀区人民法院再次驳回伍某某的执行异议。伍某某未提起案外人执行异议之诉，2014年8月18日，梧州市万秀区人民法院拍卖了鼎晟公司持有的南宁武鸣某村镇银行6.8%的股权。</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
          <w:bCs/>
          <w:color w:val="auto"/>
          <w:sz w:val="32"/>
          <w:szCs w:val="32"/>
          <w:u w:val="single"/>
        </w:rPr>
      </w:pPr>
      <w:r>
        <w:rPr>
          <w:rFonts w:hint="eastAsia" w:ascii="仿宋" w:hAnsi="仿宋" w:eastAsia="仿宋" w:cs="Arial"/>
          <w:color w:val="auto"/>
          <w:sz w:val="32"/>
          <w:szCs w:val="32"/>
        </w:rPr>
        <w:t>伍某某于2014年6月19日向武鸣县人民法院提起诉讼，请求依法确认由原告伍某某实际出资,在被告南宁武鸣某村镇银行登记于被告鼎晟公司名下81.6万元的股权归原告所有。</w:t>
      </w:r>
      <w:r>
        <w:rPr>
          <w:rFonts w:hint="eastAsia" w:ascii="仿宋" w:hAnsi="仿宋" w:eastAsia="仿宋" w:cs="Arial"/>
          <w:b w:val="0"/>
          <w:bCs/>
          <w:color w:val="auto"/>
          <w:sz w:val="32"/>
          <w:szCs w:val="32"/>
          <w:u w:val="none"/>
        </w:rPr>
        <w:t>南宁武鸣某村镇银行接到诉状后即</w:t>
      </w:r>
      <w:r>
        <w:rPr>
          <w:rFonts w:hint="eastAsia" w:ascii="仿宋" w:hAnsi="仿宋" w:eastAsia="仿宋" w:cs="Arial"/>
          <w:b w:val="0"/>
          <w:bCs/>
          <w:color w:val="auto"/>
          <w:sz w:val="32"/>
          <w:szCs w:val="32"/>
          <w:u w:val="none"/>
        </w:rPr>
        <w:t>委托广西慧拓律师事务所李桂玲律师作为该案的代理人。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2014年6月27日，一审被告鼎晟公司以执行法院管辖为由提出管辖异议，</w:t>
      </w:r>
      <w:r>
        <w:rPr>
          <w:rFonts w:hint="eastAsia" w:ascii="仿宋" w:hAnsi="仿宋" w:eastAsia="仿宋" w:cs="Arial"/>
          <w:color w:val="auto"/>
          <w:sz w:val="32"/>
          <w:szCs w:val="32"/>
        </w:rPr>
        <w:t>武鸣县人民法院经审查后，将该案移送梧州市万秀区人民法院审理。一审法院认为，原告伍某某与被告鼎晟公司、第三人徐某、罗某签订的《协议书》是有效合同。伍某某以鼎晟公司名义入股南宁武鸣某村镇银行81.6万元，成为南宁武鸣某村镇银行的隐名股东，二者形成的是隐名股东和挂名股东的关系，双方的权利义务由《协议书》约定，在当事人之间产生效力，形成合同关系，</w:t>
      </w:r>
      <w:r>
        <w:rPr>
          <w:rFonts w:hint="eastAsia" w:ascii="仿宋" w:hAnsi="仿宋" w:eastAsia="仿宋"/>
          <w:color w:val="auto"/>
          <w:sz w:val="32"/>
          <w:szCs w:val="32"/>
        </w:rPr>
        <w:t>由于隐名股东与公司既不存在合同关系，隐名股东也不得脱离挂名股东独立向公司主张权利，因此，</w:t>
      </w:r>
      <w:r>
        <w:rPr>
          <w:rFonts w:hint="eastAsia" w:ascii="仿宋" w:hAnsi="仿宋" w:eastAsia="仿宋" w:cs="Arial"/>
          <w:color w:val="auto"/>
          <w:sz w:val="32"/>
          <w:szCs w:val="32"/>
        </w:rPr>
        <w:t>南宁武鸣某</w:t>
      </w:r>
      <w:r>
        <w:rPr>
          <w:rFonts w:hint="eastAsia" w:ascii="仿宋" w:hAnsi="仿宋" w:eastAsia="仿宋"/>
          <w:color w:val="auto"/>
          <w:sz w:val="32"/>
          <w:szCs w:val="32"/>
        </w:rPr>
        <w:t>村镇银行与伍某某不存在股东和有限责任公司的关系，驳回伍某某的诉讼请求。</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olor w:val="auto"/>
          <w:sz w:val="32"/>
          <w:szCs w:val="32"/>
        </w:rPr>
        <w:t>伍某某不服一审判决，提起上诉。</w:t>
      </w:r>
      <w:r>
        <w:rPr>
          <w:rFonts w:hint="eastAsia" w:ascii="仿宋" w:hAnsi="仿宋" w:eastAsia="仿宋" w:cs="Arial"/>
          <w:b w:val="0"/>
          <w:bCs/>
          <w:color w:val="auto"/>
          <w:sz w:val="32"/>
          <w:szCs w:val="32"/>
          <w:u w:val="none"/>
        </w:rPr>
        <w:t>南宁武鸣某村镇银行继续</w:t>
      </w:r>
      <w:r>
        <w:rPr>
          <w:rFonts w:hint="eastAsia" w:ascii="仿宋" w:hAnsi="仿宋" w:eastAsia="仿宋" w:cs="Arial"/>
          <w:b w:val="0"/>
          <w:bCs/>
          <w:color w:val="auto"/>
          <w:sz w:val="32"/>
          <w:szCs w:val="32"/>
          <w:u w:val="none"/>
        </w:rPr>
        <w:t>委托广西慧拓律师事务所李桂玲律师作为该案的二审代理人。</w:t>
      </w:r>
      <w:r>
        <w:rPr>
          <w:rFonts w:hint="eastAsia" w:ascii="仿宋" w:hAnsi="仿宋" w:eastAsia="仿宋" w:cs="Arial"/>
          <w:color w:val="auto"/>
          <w:sz w:val="32"/>
          <w:szCs w:val="32"/>
        </w:rPr>
        <w:t>二审法院经审理认为一审判决事实清楚，适用法律正确，驳回伍某某的上诉，维持原判。</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s="Arial"/>
          <w:color w:val="auto"/>
          <w:sz w:val="32"/>
          <w:szCs w:val="32"/>
        </w:rPr>
        <w:t>代理意见</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代理人认为，本案系隐名股东股东资格确认纠纷，主要争议焦点一是程序问题：上诉人提出的以案外人异议之诉重审本案是否有法律依据，二是实体问题，伍某某是否是南宁武鸣某村镇银行的隐名股东。</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b w:val="0"/>
          <w:bCs/>
          <w:color w:val="auto"/>
          <w:sz w:val="32"/>
          <w:szCs w:val="32"/>
        </w:rPr>
      </w:pPr>
      <w:r>
        <w:rPr>
          <w:rFonts w:hint="eastAsia" w:ascii="黑体" w:hAnsi="黑体" w:eastAsia="黑体"/>
          <w:b w:val="0"/>
          <w:bCs/>
          <w:color w:val="auto"/>
          <w:sz w:val="32"/>
          <w:szCs w:val="32"/>
        </w:rPr>
        <w:t>一、伍某某提出将本案以案外人异议之诉重审无法律依据</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根据《中华人民共和国民事诉讼法》第二百二十七条的规定，“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案外人异议之诉是有其特定的起诉条件和期限的，即在执行过程中于驳回异议申请裁定送达之日起十五日内向人民法院提起。本案的股东资格确认之诉最早于2014年6月19日提起，而执行法院作出最终的驳回异议申请裁定是在2014年6月26日，伍某某在当时完全有时间和条件提起案外人执行异议之诉，可伍某某并未在法定期限内提起案外人执行异议之诉，显然在股东资格确认之诉与案外人执行异议之诉两个程序中，伍某某选择的是股东资格确认之诉。股东资格确认之诉来源于《公司法》，案外人执行异议之诉来源于《民事诉讼法》，二者的实质完全不同，没有相互转换的条件。伍某某的诉讼请求未获得一审法院的支持，在二审中以法院移案到执行法院审理为由要求变更为案外人异议之诉，没有法律依据，也不符合案外人执行异议之诉设立的立法原则。</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olor w:val="auto"/>
          <w:sz w:val="32"/>
          <w:szCs w:val="32"/>
        </w:rPr>
      </w:pPr>
      <w:r>
        <w:rPr>
          <w:rFonts w:hint="eastAsia" w:ascii="黑体" w:hAnsi="黑体" w:eastAsia="黑体"/>
          <w:b w:val="0"/>
          <w:bCs/>
          <w:color w:val="auto"/>
          <w:sz w:val="32"/>
          <w:szCs w:val="32"/>
        </w:rPr>
        <w:t>二、</w:t>
      </w:r>
      <w:r>
        <w:rPr>
          <w:rFonts w:ascii="黑体" w:hAnsi="黑体" w:eastAsia="黑体"/>
          <w:b w:val="0"/>
          <w:bCs/>
          <w:color w:val="auto"/>
          <w:sz w:val="32"/>
          <w:szCs w:val="32"/>
        </w:rPr>
        <w:t>隐名股东不能排除法院对显名股东股权的强制执行</w:t>
      </w:r>
    </w:p>
    <w:p>
      <w:pPr>
        <w:keepNext w:val="0"/>
        <w:keepLines w:val="0"/>
        <w:pageBreakBefore w:val="0"/>
        <w:kinsoku/>
        <w:wordWrap/>
        <w:overflowPunct/>
        <w:topLinePunct w:val="0"/>
        <w:autoSpaceDE/>
        <w:autoSpaceDN/>
        <w:bidi w:val="0"/>
        <w:adjustRightInd/>
        <w:snapToGrid/>
        <w:spacing w:line="600" w:lineRule="exact"/>
        <w:ind w:left="0" w:firstLine="560"/>
        <w:rPr>
          <w:rFonts w:ascii="仿宋" w:hAnsi="仿宋" w:eastAsia="仿宋"/>
          <w:bCs/>
          <w:color w:val="auto"/>
          <w:sz w:val="32"/>
          <w:szCs w:val="32"/>
        </w:rPr>
      </w:pPr>
      <w:r>
        <w:rPr>
          <w:rFonts w:hint="eastAsia" w:ascii="仿宋" w:hAnsi="仿宋" w:eastAsia="仿宋"/>
          <w:color w:val="auto"/>
          <w:sz w:val="32"/>
          <w:szCs w:val="32"/>
        </w:rPr>
        <w:t>根据</w:t>
      </w:r>
      <w:r>
        <w:rPr>
          <w:rFonts w:ascii="仿宋" w:hAnsi="仿宋" w:eastAsia="仿宋"/>
          <w:color w:val="auto"/>
          <w:sz w:val="32"/>
          <w:szCs w:val="32"/>
        </w:rPr>
        <w:t>《公司法》第三十二条第三款</w:t>
      </w:r>
      <w:r>
        <w:rPr>
          <w:rFonts w:hint="eastAsia" w:ascii="仿宋" w:hAnsi="仿宋" w:eastAsia="仿宋"/>
          <w:color w:val="auto"/>
          <w:sz w:val="32"/>
          <w:szCs w:val="32"/>
        </w:rPr>
        <w:t>的</w:t>
      </w:r>
      <w:r>
        <w:rPr>
          <w:rFonts w:ascii="仿宋" w:hAnsi="仿宋" w:eastAsia="仿宋"/>
          <w:color w:val="auto"/>
          <w:sz w:val="32"/>
          <w:szCs w:val="32"/>
        </w:rPr>
        <w:t>规定</w:t>
      </w:r>
      <w:r>
        <w:rPr>
          <w:rFonts w:hint="eastAsia" w:ascii="仿宋" w:hAnsi="仿宋" w:eastAsia="仿宋"/>
          <w:color w:val="auto"/>
          <w:sz w:val="32"/>
          <w:szCs w:val="32"/>
        </w:rPr>
        <w:t>，“</w:t>
      </w:r>
      <w:r>
        <w:rPr>
          <w:rFonts w:ascii="仿宋" w:hAnsi="仿宋" w:eastAsia="仿宋"/>
          <w:color w:val="auto"/>
          <w:sz w:val="32"/>
          <w:szCs w:val="32"/>
        </w:rPr>
        <w:t>公司应当将股东的姓名或者名称向公司登记机关登记；登记事项发生变更的，应当办理变更登记。未经登记或者变更登记的，不得对抗第三人。</w:t>
      </w:r>
      <w:r>
        <w:rPr>
          <w:rFonts w:hint="eastAsia" w:ascii="仿宋" w:hAnsi="仿宋" w:eastAsia="仿宋"/>
          <w:color w:val="auto"/>
          <w:sz w:val="32"/>
          <w:szCs w:val="32"/>
        </w:rPr>
        <w:t>”</w:t>
      </w:r>
      <w:r>
        <w:rPr>
          <w:rFonts w:ascii="仿宋" w:hAnsi="仿宋" w:eastAsia="仿宋"/>
          <w:bCs/>
          <w:color w:val="auto"/>
          <w:sz w:val="32"/>
          <w:szCs w:val="32"/>
        </w:rPr>
        <w:t>股权登记具有</w:t>
      </w:r>
      <w:r>
        <w:rPr>
          <w:rFonts w:hint="eastAsia" w:ascii="仿宋" w:hAnsi="仿宋" w:eastAsia="仿宋"/>
          <w:bCs/>
          <w:color w:val="auto"/>
          <w:sz w:val="32"/>
          <w:szCs w:val="32"/>
        </w:rPr>
        <w:t>法定的</w:t>
      </w:r>
      <w:r>
        <w:rPr>
          <w:rFonts w:ascii="仿宋" w:hAnsi="仿宋" w:eastAsia="仿宋"/>
          <w:bCs/>
          <w:color w:val="auto"/>
          <w:sz w:val="32"/>
          <w:szCs w:val="32"/>
        </w:rPr>
        <w:t>公信力，隐名股东对外不具有公示股东的法律地位，对外不</w:t>
      </w:r>
      <w:r>
        <w:rPr>
          <w:rFonts w:hint="eastAsia" w:ascii="仿宋" w:hAnsi="仿宋" w:eastAsia="仿宋"/>
          <w:bCs/>
          <w:color w:val="auto"/>
          <w:sz w:val="32"/>
          <w:szCs w:val="32"/>
        </w:rPr>
        <w:t>能对抗</w:t>
      </w:r>
      <w:r>
        <w:rPr>
          <w:rFonts w:ascii="仿宋" w:hAnsi="仿宋" w:eastAsia="仿宋"/>
          <w:bCs/>
          <w:color w:val="auto"/>
          <w:sz w:val="32"/>
          <w:szCs w:val="32"/>
        </w:rPr>
        <w:t>外部债权人对显名股东</w:t>
      </w:r>
      <w:r>
        <w:rPr>
          <w:rFonts w:hint="eastAsia" w:ascii="仿宋" w:hAnsi="仿宋" w:eastAsia="仿宋"/>
          <w:bCs/>
          <w:color w:val="auto"/>
          <w:sz w:val="32"/>
          <w:szCs w:val="32"/>
        </w:rPr>
        <w:t>行使</w:t>
      </w:r>
      <w:r>
        <w:rPr>
          <w:rFonts w:ascii="仿宋" w:hAnsi="仿宋" w:eastAsia="仿宋"/>
          <w:bCs/>
          <w:color w:val="auto"/>
          <w:sz w:val="32"/>
          <w:szCs w:val="32"/>
        </w:rPr>
        <w:t>正当权利</w:t>
      </w:r>
      <w:r>
        <w:rPr>
          <w:rFonts w:hint="eastAsia" w:ascii="仿宋" w:hAnsi="仿宋" w:eastAsia="仿宋"/>
          <w:bCs/>
          <w:color w:val="auto"/>
          <w:sz w:val="32"/>
          <w:szCs w:val="32"/>
        </w:rPr>
        <w:t>，因此法院根据工商登记的股东信息和外部债权人的申请，拍卖鼎晟公司的股权符合法律规定。同时根据</w:t>
      </w:r>
      <w:r>
        <w:rPr>
          <w:rFonts w:ascii="仿宋" w:hAnsi="仿宋" w:eastAsia="仿宋"/>
          <w:bCs/>
          <w:color w:val="auto"/>
          <w:sz w:val="32"/>
          <w:szCs w:val="32"/>
        </w:rPr>
        <w:t>《最高人民法院关于适用〈中华人民共和国公司法〉若干问题的规定（三）》第二十</w:t>
      </w:r>
      <w:r>
        <w:rPr>
          <w:rFonts w:hint="eastAsia" w:ascii="仿宋" w:hAnsi="仿宋" w:eastAsia="仿宋"/>
          <w:bCs/>
          <w:color w:val="auto"/>
          <w:sz w:val="32"/>
          <w:szCs w:val="32"/>
        </w:rPr>
        <w:t>四</w:t>
      </w:r>
      <w:r>
        <w:rPr>
          <w:rFonts w:ascii="仿宋" w:hAnsi="仿宋" w:eastAsia="仿宋"/>
          <w:bCs/>
          <w:color w:val="auto"/>
          <w:sz w:val="32"/>
          <w:szCs w:val="32"/>
        </w:rPr>
        <w:t>条</w:t>
      </w:r>
      <w:r>
        <w:rPr>
          <w:rFonts w:hint="eastAsia" w:ascii="仿宋" w:hAnsi="仿宋" w:eastAsia="仿宋"/>
          <w:bCs/>
          <w:color w:val="auto"/>
          <w:sz w:val="32"/>
          <w:szCs w:val="32"/>
        </w:rPr>
        <w:t>第三款的规定，“实际出资人未经公司其他股东半数以上同意，请求公司变更股东、签发出资证明书、记载于股东名册、记载于公司章程并办理公司登记机关登记的，人民法院不予支持。”鉴于有限责任公司股权具有的“人合性”属性，法院判决也并不是实际出资人成为股东的法定条件，故无论本案是股东资格确认之诉还是案外人执行异议之诉，伍某某都不可能以其实际出资为由达到终止执行鼎晟公司的股权或是确认在</w:t>
      </w:r>
      <w:r>
        <w:rPr>
          <w:rFonts w:hint="eastAsia" w:ascii="仿宋" w:hAnsi="仿宋" w:eastAsia="仿宋" w:cs="Arial"/>
          <w:color w:val="auto"/>
          <w:sz w:val="32"/>
          <w:szCs w:val="32"/>
        </w:rPr>
        <w:t>南宁武鸣某村镇银行</w:t>
      </w:r>
      <w:r>
        <w:rPr>
          <w:rFonts w:hint="eastAsia" w:ascii="仿宋" w:hAnsi="仿宋" w:eastAsia="仿宋"/>
          <w:bCs/>
          <w:color w:val="auto"/>
          <w:sz w:val="32"/>
          <w:szCs w:val="32"/>
        </w:rPr>
        <w:t>的股东资格的诉讼目的。</w:t>
      </w:r>
    </w:p>
    <w:p>
      <w:pPr>
        <w:keepNext w:val="0"/>
        <w:keepLines w:val="0"/>
        <w:pageBreakBefore w:val="0"/>
        <w:kinsoku/>
        <w:wordWrap/>
        <w:overflowPunct/>
        <w:topLinePunct w:val="0"/>
        <w:autoSpaceDE/>
        <w:autoSpaceDN/>
        <w:bidi w:val="0"/>
        <w:adjustRightInd/>
        <w:snapToGrid/>
        <w:spacing w:line="600" w:lineRule="exact"/>
        <w:ind w:left="0" w:firstLine="560"/>
        <w:rPr>
          <w:rFonts w:ascii="黑体" w:hAnsi="黑体" w:eastAsia="黑体"/>
          <w:b w:val="0"/>
          <w:bCs/>
          <w:color w:val="auto"/>
          <w:sz w:val="32"/>
          <w:szCs w:val="32"/>
        </w:rPr>
      </w:pPr>
      <w:r>
        <w:rPr>
          <w:rFonts w:hint="eastAsia" w:ascii="黑体" w:hAnsi="黑体" w:eastAsia="黑体"/>
          <w:b w:val="0"/>
          <w:bCs/>
          <w:color w:val="auto"/>
          <w:sz w:val="32"/>
          <w:szCs w:val="32"/>
        </w:rPr>
        <w:t>三、在实体权利上，伍某某所提交证据也无法证实其为银行隐名股东的身份</w:t>
      </w:r>
    </w:p>
    <w:p>
      <w:pPr>
        <w:keepNext w:val="0"/>
        <w:keepLines w:val="0"/>
        <w:pageBreakBefore w:val="0"/>
        <w:kinsoku/>
        <w:wordWrap/>
        <w:overflowPunct/>
        <w:topLinePunct w:val="0"/>
        <w:autoSpaceDE/>
        <w:autoSpaceDN/>
        <w:bidi w:val="0"/>
        <w:adjustRightInd/>
        <w:snapToGrid/>
        <w:spacing w:line="600" w:lineRule="exact"/>
        <w:ind w:left="0" w:firstLine="560"/>
        <w:rPr>
          <w:rFonts w:ascii="仿宋" w:hAnsi="仿宋" w:eastAsia="仿宋"/>
          <w:color w:val="auto"/>
          <w:sz w:val="32"/>
          <w:szCs w:val="32"/>
        </w:rPr>
      </w:pPr>
      <w:r>
        <w:rPr>
          <w:rFonts w:hint="eastAsia" w:ascii="仿宋" w:hAnsi="仿宋" w:eastAsia="仿宋"/>
          <w:color w:val="auto"/>
          <w:sz w:val="32"/>
          <w:szCs w:val="32"/>
        </w:rPr>
        <w:t>首先，出资是取得公司股东资格最核心的要素。无论是委托持股还是直接投资，出资人都应证明其的投资是实际出资于公司的，否则其的投资就可能是其他法律关系，而并不必然是取得公司股权的民事法律行为。在本案中，</w:t>
      </w:r>
      <w:r>
        <w:rPr>
          <w:rFonts w:hint="eastAsia" w:ascii="仿宋" w:hAnsi="仿宋" w:eastAsia="仿宋"/>
          <w:bCs/>
          <w:color w:val="auto"/>
          <w:sz w:val="32"/>
          <w:szCs w:val="32"/>
        </w:rPr>
        <w:t>伍某某</w:t>
      </w:r>
      <w:r>
        <w:rPr>
          <w:rFonts w:hint="eastAsia" w:ascii="仿宋" w:hAnsi="仿宋" w:eastAsia="仿宋"/>
          <w:color w:val="auto"/>
          <w:sz w:val="32"/>
          <w:szCs w:val="32"/>
        </w:rPr>
        <w:t>出示的2012年5月23日《协议书》显示，</w:t>
      </w:r>
      <w:r>
        <w:rPr>
          <w:rFonts w:hint="eastAsia" w:ascii="仿宋" w:hAnsi="仿宋" w:eastAsia="仿宋"/>
          <w:bCs/>
          <w:color w:val="auto"/>
          <w:sz w:val="32"/>
          <w:szCs w:val="32"/>
        </w:rPr>
        <w:t>伍某某</w:t>
      </w:r>
      <w:r>
        <w:rPr>
          <w:rFonts w:hint="eastAsia" w:ascii="仿宋" w:hAnsi="仿宋" w:eastAsia="仿宋"/>
          <w:color w:val="auto"/>
          <w:sz w:val="32"/>
          <w:szCs w:val="32"/>
        </w:rPr>
        <w:t>以鼎晟公司名义投资入股到</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的金额为81.6万元，而鼎晟公司出具给</w:t>
      </w:r>
      <w:r>
        <w:rPr>
          <w:rFonts w:hint="eastAsia" w:ascii="仿宋" w:hAnsi="仿宋" w:eastAsia="仿宋"/>
          <w:bCs/>
          <w:color w:val="auto"/>
          <w:sz w:val="32"/>
          <w:szCs w:val="32"/>
        </w:rPr>
        <w:t>伍某某</w:t>
      </w:r>
      <w:r>
        <w:rPr>
          <w:rFonts w:hint="eastAsia" w:ascii="仿宋" w:hAnsi="仿宋" w:eastAsia="仿宋"/>
          <w:color w:val="auto"/>
          <w:sz w:val="32"/>
          <w:szCs w:val="32"/>
        </w:rPr>
        <w:t>的收款收据上投资款金额为89.5万元，两个款项数额明显不符；且鼎晟公司出具的收据上未写明</w:t>
      </w:r>
      <w:r>
        <w:rPr>
          <w:rFonts w:hint="eastAsia" w:ascii="仿宋" w:hAnsi="仿宋" w:eastAsia="仿宋"/>
          <w:bCs/>
          <w:color w:val="auto"/>
          <w:sz w:val="32"/>
          <w:szCs w:val="32"/>
        </w:rPr>
        <w:t>伍某某</w:t>
      </w:r>
      <w:r>
        <w:rPr>
          <w:rFonts w:hint="eastAsia" w:ascii="仿宋" w:hAnsi="仿宋" w:eastAsia="仿宋"/>
          <w:color w:val="auto"/>
          <w:sz w:val="32"/>
          <w:szCs w:val="32"/>
        </w:rPr>
        <w:t>所交款项投资于何项目，</w:t>
      </w:r>
      <w:r>
        <w:rPr>
          <w:rFonts w:hint="eastAsia" w:ascii="仿宋" w:hAnsi="仿宋" w:eastAsia="仿宋"/>
          <w:bCs/>
          <w:color w:val="auto"/>
          <w:sz w:val="32"/>
          <w:szCs w:val="32"/>
        </w:rPr>
        <w:t>伍某某</w:t>
      </w:r>
      <w:r>
        <w:rPr>
          <w:rFonts w:hint="eastAsia" w:ascii="仿宋" w:hAnsi="仿宋" w:eastAsia="仿宋"/>
          <w:color w:val="auto"/>
          <w:sz w:val="32"/>
          <w:szCs w:val="32"/>
        </w:rPr>
        <w:t>也无其他证据佐证投资到鼎晟公司的89.5万元中有81.6万元鼎晟公司又出资到</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，其所举证据未能形成证据链来证明伍某某在</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有实际出资。</w:t>
      </w:r>
    </w:p>
    <w:p>
      <w:pPr>
        <w:keepNext w:val="0"/>
        <w:keepLines w:val="0"/>
        <w:pageBreakBefore w:val="0"/>
        <w:kinsoku/>
        <w:wordWrap/>
        <w:overflowPunct/>
        <w:topLinePunct w:val="0"/>
        <w:autoSpaceDE/>
        <w:autoSpaceDN/>
        <w:bidi w:val="0"/>
        <w:adjustRightInd/>
        <w:snapToGrid/>
        <w:spacing w:line="600" w:lineRule="exact"/>
        <w:ind w:left="0" w:firstLine="560"/>
        <w:rPr>
          <w:rFonts w:ascii="仿宋" w:hAnsi="仿宋" w:eastAsia="仿宋"/>
          <w:color w:val="auto"/>
          <w:sz w:val="32"/>
          <w:szCs w:val="32"/>
        </w:rPr>
      </w:pPr>
      <w:r>
        <w:rPr>
          <w:rFonts w:hint="eastAsia" w:ascii="仿宋" w:hAnsi="仿宋" w:eastAsia="仿宋"/>
          <w:color w:val="auto"/>
          <w:sz w:val="32"/>
          <w:szCs w:val="32"/>
        </w:rPr>
        <w:t>其次</w:t>
      </w:r>
      <w:r>
        <w:rPr>
          <w:rFonts w:ascii="仿宋" w:hAnsi="仿宋" w:eastAsia="仿宋"/>
          <w:color w:val="auto"/>
          <w:sz w:val="32"/>
          <w:szCs w:val="32"/>
        </w:rPr>
        <w:t>，</w:t>
      </w:r>
      <w:r>
        <w:rPr>
          <w:rFonts w:hint="eastAsia" w:ascii="仿宋" w:hAnsi="仿宋" w:eastAsia="仿宋"/>
          <w:color w:val="auto"/>
          <w:sz w:val="32"/>
          <w:szCs w:val="32"/>
        </w:rPr>
        <w:t>行使股东权利、承担股东义务是股东资格最重要的外在表现。伍某某也无证据证明其参与过</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的</w:t>
      </w:r>
      <w:r>
        <w:rPr>
          <w:rFonts w:ascii="仿宋" w:hAnsi="仿宋" w:eastAsia="仿宋"/>
          <w:color w:val="auto"/>
          <w:sz w:val="32"/>
          <w:szCs w:val="32"/>
        </w:rPr>
        <w:t>成立</w:t>
      </w:r>
      <w:r>
        <w:rPr>
          <w:rFonts w:hint="eastAsia" w:ascii="仿宋" w:hAnsi="仿宋" w:eastAsia="仿宋"/>
          <w:color w:val="auto"/>
          <w:sz w:val="32"/>
          <w:szCs w:val="32"/>
        </w:rPr>
        <w:t>和筹备工作，其提交的会议纪要显示其本人未出席会议纪要所记录的会议，该会议也与</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或</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的任何现有或原有股东有任何关联性。在</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成立后，伍某某</w:t>
      </w:r>
      <w:r>
        <w:rPr>
          <w:rFonts w:ascii="仿宋" w:hAnsi="仿宋" w:eastAsia="仿宋"/>
          <w:color w:val="auto"/>
          <w:sz w:val="32"/>
          <w:szCs w:val="32"/>
        </w:rPr>
        <w:t>也</w:t>
      </w:r>
      <w:r>
        <w:rPr>
          <w:rFonts w:hint="eastAsia" w:ascii="仿宋" w:hAnsi="仿宋" w:eastAsia="仿宋"/>
          <w:color w:val="auto"/>
          <w:sz w:val="32"/>
          <w:szCs w:val="32"/>
        </w:rPr>
        <w:t>从</w:t>
      </w:r>
      <w:r>
        <w:rPr>
          <w:rFonts w:ascii="仿宋" w:hAnsi="仿宋" w:eastAsia="仿宋"/>
          <w:color w:val="auto"/>
          <w:sz w:val="32"/>
          <w:szCs w:val="32"/>
        </w:rPr>
        <w:t>未向</w:t>
      </w:r>
      <w:r>
        <w:rPr>
          <w:rFonts w:hint="eastAsia" w:ascii="仿宋" w:hAnsi="仿宋" w:eastAsia="仿宋"/>
          <w:color w:val="auto"/>
          <w:sz w:val="32"/>
          <w:szCs w:val="32"/>
        </w:rPr>
        <w:t>银行</w:t>
      </w:r>
      <w:r>
        <w:rPr>
          <w:rFonts w:ascii="仿宋" w:hAnsi="仿宋" w:eastAsia="仿宋"/>
          <w:color w:val="auto"/>
          <w:sz w:val="32"/>
          <w:szCs w:val="32"/>
        </w:rPr>
        <w:t>做过任何</w:t>
      </w:r>
      <w:r>
        <w:rPr>
          <w:rFonts w:hint="eastAsia" w:ascii="仿宋" w:hAnsi="仿宋" w:eastAsia="仿宋"/>
          <w:color w:val="auto"/>
          <w:sz w:val="32"/>
          <w:szCs w:val="32"/>
        </w:rPr>
        <w:t>要求</w:t>
      </w:r>
      <w:r>
        <w:rPr>
          <w:rFonts w:ascii="仿宋" w:hAnsi="仿宋" w:eastAsia="仿宋"/>
          <w:color w:val="auto"/>
          <w:sz w:val="32"/>
          <w:szCs w:val="32"/>
        </w:rPr>
        <w:t>确认其为</w:t>
      </w:r>
      <w:r>
        <w:rPr>
          <w:rFonts w:hint="eastAsia" w:ascii="仿宋" w:hAnsi="仿宋" w:eastAsia="仿宋"/>
          <w:color w:val="auto"/>
          <w:sz w:val="32"/>
          <w:szCs w:val="32"/>
        </w:rPr>
        <w:t>股东</w:t>
      </w:r>
      <w:r>
        <w:rPr>
          <w:rFonts w:ascii="仿宋" w:hAnsi="仿宋" w:eastAsia="仿宋"/>
          <w:color w:val="auto"/>
          <w:sz w:val="32"/>
          <w:szCs w:val="32"/>
        </w:rPr>
        <w:t>的意思表示</w:t>
      </w:r>
      <w:r>
        <w:rPr>
          <w:rFonts w:hint="eastAsia" w:ascii="仿宋" w:hAnsi="仿宋" w:eastAsia="仿宋"/>
          <w:color w:val="auto"/>
          <w:sz w:val="32"/>
          <w:szCs w:val="32"/>
        </w:rPr>
        <w:t>，</w:t>
      </w:r>
      <w:r>
        <w:rPr>
          <w:rFonts w:hint="eastAsia" w:ascii="仿宋" w:hAnsi="仿宋" w:eastAsia="仿宋" w:cs="Arial"/>
          <w:color w:val="auto"/>
          <w:sz w:val="32"/>
          <w:szCs w:val="32"/>
        </w:rPr>
        <w:t>南宁武鸣某村镇银行</w:t>
      </w:r>
      <w:r>
        <w:rPr>
          <w:rFonts w:hint="eastAsia" w:ascii="仿宋" w:hAnsi="仿宋" w:eastAsia="仿宋"/>
          <w:color w:val="auto"/>
          <w:sz w:val="32"/>
          <w:szCs w:val="32"/>
        </w:rPr>
        <w:t>的其他股东根本不知晓伍某某的存在。</w:t>
      </w:r>
    </w:p>
    <w:p>
      <w:pPr>
        <w:keepNext w:val="0"/>
        <w:keepLines w:val="0"/>
        <w:pageBreakBefore w:val="0"/>
        <w:kinsoku/>
        <w:wordWrap/>
        <w:overflowPunct/>
        <w:topLinePunct w:val="0"/>
        <w:autoSpaceDE/>
        <w:autoSpaceDN/>
        <w:bidi w:val="0"/>
        <w:adjustRightInd/>
        <w:snapToGrid/>
        <w:spacing w:line="600" w:lineRule="exact"/>
        <w:ind w:left="0" w:firstLine="560"/>
        <w:rPr>
          <w:rFonts w:ascii="黑体" w:hAnsi="黑体" w:eastAsia="黑体"/>
          <w:b w:val="0"/>
          <w:bCs/>
          <w:color w:val="auto"/>
          <w:sz w:val="32"/>
          <w:szCs w:val="32"/>
        </w:rPr>
      </w:pPr>
      <w:r>
        <w:rPr>
          <w:rFonts w:hint="eastAsia" w:ascii="黑体" w:hAnsi="黑体" w:eastAsia="黑体"/>
          <w:b w:val="0"/>
          <w:bCs/>
          <w:color w:val="auto"/>
          <w:sz w:val="32"/>
          <w:szCs w:val="32"/>
        </w:rPr>
        <w:t>四、伍某某应依法律关系依法维权，避免给他人造成不必要的诉累</w:t>
      </w:r>
    </w:p>
    <w:p>
      <w:pPr>
        <w:keepNext w:val="0"/>
        <w:keepLines w:val="0"/>
        <w:pageBreakBefore w:val="0"/>
        <w:kinsoku/>
        <w:wordWrap/>
        <w:overflowPunct/>
        <w:topLinePunct w:val="0"/>
        <w:autoSpaceDE/>
        <w:autoSpaceDN/>
        <w:bidi w:val="0"/>
        <w:adjustRightInd/>
        <w:snapToGrid/>
        <w:spacing w:line="600" w:lineRule="exact"/>
        <w:ind w:left="0" w:firstLine="560"/>
        <w:rPr>
          <w:rFonts w:hint="eastAsia" w:ascii="仿宋" w:hAnsi="仿宋" w:eastAsia="仿宋"/>
          <w:color w:val="auto"/>
          <w:sz w:val="32"/>
          <w:szCs w:val="32"/>
        </w:rPr>
      </w:pPr>
      <w:r>
        <w:rPr>
          <w:rFonts w:hint="eastAsia" w:ascii="仿宋" w:hAnsi="仿宋" w:eastAsia="仿宋"/>
          <w:color w:val="auto"/>
          <w:sz w:val="32"/>
          <w:szCs w:val="32"/>
        </w:rPr>
        <w:t>首先，《民事诉讼法》对在执行程序中案外人权利的保护规定了明确的救济途径和程序，伍某某应按法律规定的程序维护自己的权利，但伍某某在案外人异议被驳回后，未依法提出案外人执行异议之诉来中止争议股权的执行，而是选择另案提起确权之诉。因此，在选择确权之诉时，伍某某就应该明白其应承担的诉讼风险，不能因一审法院驳回诉讼请求就认为是剥夺了上诉人的救济途径。</w:t>
      </w:r>
    </w:p>
    <w:p>
      <w:pPr>
        <w:keepNext w:val="0"/>
        <w:keepLines w:val="0"/>
        <w:pageBreakBefore w:val="0"/>
        <w:kinsoku/>
        <w:wordWrap/>
        <w:overflowPunct/>
        <w:topLinePunct w:val="0"/>
        <w:autoSpaceDE/>
        <w:autoSpaceDN/>
        <w:bidi w:val="0"/>
        <w:adjustRightInd/>
        <w:snapToGrid/>
        <w:spacing w:line="600" w:lineRule="exact"/>
        <w:ind w:left="0" w:firstLine="560"/>
        <w:rPr>
          <w:rFonts w:ascii="仿宋" w:hAnsi="仿宋" w:eastAsia="仿宋"/>
          <w:color w:val="auto"/>
          <w:sz w:val="32"/>
          <w:szCs w:val="32"/>
        </w:rPr>
      </w:pPr>
      <w:r>
        <w:rPr>
          <w:rFonts w:hint="eastAsia" w:ascii="仿宋" w:hAnsi="仿宋" w:eastAsia="仿宋"/>
          <w:color w:val="auto"/>
          <w:sz w:val="32"/>
          <w:szCs w:val="32"/>
        </w:rPr>
        <w:t>其次，一审法院已认定伍某某与鼎晟公司于2012年5月23日签订的《协议书》为有效合同，伍某某在该协议中的款项即使被鼎晟公司出资到南宁武鸣某村镇银行，根据合同相对性的原则，其在遭受损失时也应该向鼎晟公司主张权利，不能突破合同的相对性去主张股东权利。南宁武鸣某村镇银行在鼎晟公司股权执行案中只是协助执行人，与本案或鼎晟公司的执行案均无利害关系，却不断被牵连至一轮又一轮的诉讼程序中，给银行的正常经营造成了严重影响。</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Cs/>
          <w:color w:val="auto"/>
          <w:sz w:val="32"/>
          <w:szCs w:val="32"/>
        </w:rPr>
      </w:pPr>
      <w:r>
        <w:rPr>
          <w:rFonts w:hint="eastAsia" w:ascii="仿宋" w:hAnsi="仿宋" w:eastAsia="仿宋"/>
          <w:color w:val="auto"/>
          <w:sz w:val="32"/>
          <w:szCs w:val="32"/>
        </w:rPr>
        <w:t>综上所述，代理人认为，一审法院认定事实清楚，适用法律正确，伍某某的上诉请求没有事实和法律依据，恳请二审法院驳回伍某某的全部上审请求，维持原判。</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二审法院判决，驳回伍某某上诉，维持原判。</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olor w:val="auto"/>
          <w:sz w:val="32"/>
          <w:szCs w:val="32"/>
        </w:rPr>
        <w:t>裁判文书</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center"/>
        <w:rPr>
          <w:rFonts w:hint="eastAsia" w:ascii="仿宋" w:hAnsi="仿宋" w:eastAsia="仿宋"/>
          <w:color w:val="auto"/>
          <w:sz w:val="32"/>
          <w:szCs w:val="32"/>
        </w:rPr>
      </w:pPr>
      <w:r>
        <w:rPr>
          <w:rFonts w:hint="eastAsia" w:ascii="仿宋" w:hAnsi="仿宋" w:eastAsia="仿宋"/>
          <w:color w:val="auto"/>
          <w:sz w:val="32"/>
          <w:szCs w:val="32"/>
        </w:rPr>
        <w:t>二审法院认为，本案来源于上诉人伍</w:t>
      </w:r>
      <w:r>
        <w:rPr>
          <w:rFonts w:hint="eastAsia" w:ascii="仿宋" w:hAnsi="仿宋" w:eastAsia="仿宋" w:cs="Arial"/>
          <w:bCs/>
          <w:color w:val="auto"/>
          <w:sz w:val="32"/>
          <w:szCs w:val="32"/>
        </w:rPr>
        <w:t>某某</w:t>
      </w:r>
      <w:r>
        <w:rPr>
          <w:rFonts w:hint="eastAsia" w:ascii="仿宋" w:hAnsi="仿宋" w:eastAsia="仿宋"/>
          <w:color w:val="auto"/>
          <w:sz w:val="32"/>
          <w:szCs w:val="32"/>
        </w:rPr>
        <w:t>2014年6月19日向原武鸣县人民法院提起诉讼，请求确认在南宁武鸣某村镇银行处登记于鼎晟公司名下的408万元股份中的81.6万元股份归其所有,该院立案受理后,鼎晟公司于2014年6月27日以执行法院管辖为由向原武鸣县人民法院提出管辖异议。原武鸣县人民法院审查后，于2014年7月18日移送梧州市万秀区人民法院审理。一审法院根据上诉人伍某某的诉讼请求及依据的事实和理由，将本案案由定性为股东资格确认纠纷并无不当。上诉人再三强调本案属于案外人执行异议之诉，根据《中华人民共和国民事诉讼法》第二百二十七条规定，案外人对人民法院作出的异议裁定不服，自裁定送达之日起十五日内向人民法院提起诉讼。本案上诉人曾以案外人身份提出过执行异议被一审法院于2014年5月23日作出（2014）万法执异字第228号执行裁定予以驳回，上诉人不服申请本院复议，本院于2014年6月23日作出（2014）梧执复字第6号执行裁定撤销了（2014）万法执异字第228号裁定，发回重新审查，一审法院于2014年6月26日作出（2014）万法执异字第228-1号执行裁定，再次驳回了上诉人的异议，此后，上诉人并没有提起案外人执行异议之诉，而是在一审法院2014年6月26日作出（2014）万法执异字第228-1号执行裁定之前，就于2014年6月19日向原武鸣县人民法院提起了本案诉讼。因此，本院对上诉人称本案应定性为案外人执行异议之诉的主张不予采纳。</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ascii="仿宋" w:hAnsi="仿宋" w:eastAsia="仿宋"/>
          <w:color w:val="auto"/>
          <w:sz w:val="32"/>
          <w:szCs w:val="32"/>
        </w:rPr>
      </w:pPr>
      <w:r>
        <w:rPr>
          <w:rFonts w:hint="eastAsia" w:ascii="仿宋" w:hAnsi="仿宋" w:eastAsia="仿宋"/>
          <w:color w:val="auto"/>
          <w:sz w:val="32"/>
          <w:szCs w:val="32"/>
        </w:rPr>
        <w:t>行政机关对公司股东及股权的登记具有公示效力，鼎晟公司是南宁武鸣某村镇银行的登记股东，而上诉人并不是登记股东，依法不享有南宁武鸣某村镇银行的股份。上诉人与鼎晟公司之间的协议是内部协议，对协议之外的人不具有法律约束力。上诉人与鼎晟公司之间的内部关系，其应依据他们之间的协议另行依法解决，不属于本案的处理范围。</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ascii="仿宋" w:hAnsi="仿宋" w:eastAsia="仿宋"/>
          <w:color w:val="auto"/>
          <w:sz w:val="32"/>
          <w:szCs w:val="32"/>
        </w:rPr>
      </w:pPr>
      <w:r>
        <w:rPr>
          <w:rFonts w:hint="eastAsia" w:ascii="仿宋" w:hAnsi="仿宋" w:eastAsia="仿宋"/>
          <w:color w:val="auto"/>
          <w:sz w:val="32"/>
          <w:szCs w:val="32"/>
        </w:rPr>
        <w:t>综上所述，一审判决事实清楚，适用法律正确，本院依法予以维持。上诉人的上诉理据不足，判决驳回上诉，维持原判。</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s="Arial"/>
          <w:color w:val="auto"/>
          <w:sz w:val="32"/>
          <w:szCs w:val="32"/>
        </w:rPr>
        <w:t>案例评析</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一、正确适用诉讼程序保护民事权益至关重要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在民事强制执行程序中当自身权利受到侵害时，善用程序是维权的关键。根据《最高人民法院关于适用&lt;中华人民共和国民事诉讼法&gt;的解释》第三百一十五条的规定“案外人执行异议之诉审理期间，人民法院不得对执行标的进行处分。”在本案中，伍某某如果当初提起的是案外人执行异议之诉，至少在二审终审前，鼎晟公司的股权不会被拍卖，而伍某某提起的是实体上的确认之诉，现实的效果是一审尚未审结，鼎晟公司的股权就已经被执行拍卖，显然伍某某并没有达到阻却或延缓强制执行的目的，更没能实现确认其在银行的股权。因此，在维权过程中，程序问题日益突显出其的重要性。</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b w:val="0"/>
          <w:bCs w:val="0"/>
          <w:color w:val="auto"/>
          <w:sz w:val="32"/>
          <w:szCs w:val="32"/>
        </w:rPr>
      </w:pPr>
      <w:r>
        <w:rPr>
          <w:rFonts w:hint="eastAsia" w:ascii="黑体" w:hAnsi="黑体" w:eastAsia="黑体" w:cs="Arial"/>
          <w:b w:val="0"/>
          <w:bCs w:val="0"/>
          <w:color w:val="auto"/>
          <w:sz w:val="32"/>
          <w:szCs w:val="32"/>
        </w:rPr>
        <w:t>二、在隐名出资</w:t>
      </w:r>
      <w:r>
        <w:rPr>
          <w:rFonts w:ascii="黑体" w:hAnsi="黑体" w:eastAsia="黑体" w:cs="Arial"/>
          <w:b w:val="0"/>
          <w:bCs w:val="0"/>
          <w:color w:val="auto"/>
          <w:sz w:val="32"/>
          <w:szCs w:val="32"/>
        </w:rPr>
        <w:t>关系中的实际出资人</w:t>
      </w:r>
      <w:r>
        <w:rPr>
          <w:rFonts w:hint="eastAsia" w:ascii="黑体" w:hAnsi="黑体" w:eastAsia="黑体" w:cs="Arial"/>
          <w:b w:val="0"/>
          <w:bCs w:val="0"/>
          <w:color w:val="auto"/>
          <w:sz w:val="32"/>
          <w:szCs w:val="32"/>
        </w:rPr>
        <w:t>并不</w:t>
      </w:r>
      <w:r>
        <w:rPr>
          <w:rFonts w:ascii="黑体" w:hAnsi="黑体" w:eastAsia="黑体" w:cs="Arial"/>
          <w:b w:val="0"/>
          <w:bCs w:val="0"/>
          <w:color w:val="auto"/>
          <w:sz w:val="32"/>
          <w:szCs w:val="32"/>
        </w:rPr>
        <w:t>当然具备股东身份</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楷体"/>
          <w:color w:val="auto"/>
          <w:sz w:val="32"/>
          <w:szCs w:val="32"/>
        </w:rPr>
      </w:pPr>
      <w:r>
        <w:rPr>
          <w:rFonts w:hint="eastAsia" w:ascii="仿宋" w:hAnsi="仿宋" w:eastAsia="仿宋" w:cs="楷体"/>
          <w:color w:val="auto"/>
          <w:sz w:val="32"/>
          <w:szCs w:val="32"/>
        </w:rPr>
        <w:t>在隐名出资关系中</w:t>
      </w:r>
      <w:r>
        <w:rPr>
          <w:rFonts w:ascii="仿宋" w:hAnsi="仿宋" w:eastAsia="仿宋" w:cs="楷体"/>
          <w:color w:val="auto"/>
          <w:sz w:val="32"/>
          <w:szCs w:val="32"/>
        </w:rPr>
        <w:t>实际出资</w:t>
      </w:r>
      <w:r>
        <w:rPr>
          <w:rFonts w:hint="eastAsia" w:ascii="仿宋" w:hAnsi="仿宋" w:eastAsia="仿宋" w:cs="楷体"/>
          <w:color w:val="auto"/>
          <w:sz w:val="32"/>
          <w:szCs w:val="32"/>
        </w:rPr>
        <w:t>的隐名股东</w:t>
      </w:r>
      <w:r>
        <w:rPr>
          <w:rFonts w:ascii="仿宋" w:hAnsi="仿宋" w:eastAsia="仿宋" w:cs="楷体"/>
          <w:color w:val="auto"/>
          <w:sz w:val="32"/>
          <w:szCs w:val="32"/>
        </w:rPr>
        <w:t>、名义股东、公司三者之间存</w:t>
      </w:r>
      <w:r>
        <w:rPr>
          <w:rFonts w:hint="eastAsia" w:ascii="仿宋" w:hAnsi="仿宋" w:eastAsia="仿宋" w:cs="楷体"/>
          <w:color w:val="auto"/>
          <w:sz w:val="32"/>
          <w:szCs w:val="32"/>
        </w:rPr>
        <w:t>在</w:t>
      </w:r>
      <w:r>
        <w:rPr>
          <w:rFonts w:ascii="仿宋" w:hAnsi="仿宋" w:eastAsia="仿宋" w:cs="楷体"/>
          <w:color w:val="auto"/>
          <w:sz w:val="32"/>
          <w:szCs w:val="32"/>
        </w:rPr>
        <w:t>两个独立的法律关系，</w:t>
      </w:r>
      <w:r>
        <w:rPr>
          <w:rFonts w:ascii="仿宋" w:hAnsi="仿宋" w:eastAsia="仿宋" w:cs="楷体"/>
          <w:bCs/>
          <w:color w:val="auto"/>
          <w:sz w:val="32"/>
          <w:szCs w:val="32"/>
        </w:rPr>
        <w:t>一是实际出资人</w:t>
      </w:r>
      <w:r>
        <w:rPr>
          <w:rFonts w:hint="eastAsia" w:ascii="仿宋" w:hAnsi="仿宋" w:eastAsia="仿宋" w:cs="楷体"/>
          <w:bCs/>
          <w:color w:val="auto"/>
          <w:sz w:val="32"/>
          <w:szCs w:val="32"/>
        </w:rPr>
        <w:t>（隐名股东）</w:t>
      </w:r>
      <w:r>
        <w:rPr>
          <w:rFonts w:ascii="仿宋" w:hAnsi="仿宋" w:eastAsia="仿宋" w:cs="楷体"/>
          <w:bCs/>
          <w:color w:val="auto"/>
          <w:sz w:val="32"/>
          <w:szCs w:val="32"/>
        </w:rPr>
        <w:t>与名义股东之间的合同关系，二是名义股东与公司之间的出资关系。</w:t>
      </w:r>
      <w:r>
        <w:rPr>
          <w:rFonts w:hint="eastAsia" w:ascii="仿宋" w:hAnsi="仿宋" w:eastAsia="仿宋" w:cs="楷体"/>
          <w:bCs/>
          <w:color w:val="auto"/>
          <w:sz w:val="32"/>
          <w:szCs w:val="32"/>
        </w:rPr>
        <w:t>隐名股东</w:t>
      </w:r>
      <w:r>
        <w:rPr>
          <w:rFonts w:ascii="仿宋" w:hAnsi="仿宋" w:eastAsia="仿宋" w:cs="楷体"/>
          <w:color w:val="auto"/>
          <w:sz w:val="32"/>
          <w:szCs w:val="32"/>
        </w:rPr>
        <w:t>享有何种权利由其与名义股东之间的约定来确定，</w:t>
      </w:r>
      <w:r>
        <w:rPr>
          <w:rFonts w:ascii="仿宋" w:hAnsi="仿宋" w:eastAsia="仿宋" w:cs="楷体"/>
          <w:bCs/>
          <w:color w:val="auto"/>
          <w:sz w:val="32"/>
          <w:szCs w:val="32"/>
        </w:rPr>
        <w:t>在性质上属于合同项下的权利，而非股东权利。</w:t>
      </w:r>
      <w:r>
        <w:rPr>
          <w:rFonts w:hint="eastAsia" w:ascii="仿宋" w:hAnsi="仿宋" w:eastAsia="仿宋" w:cs="楷体"/>
          <w:color w:val="auto"/>
          <w:sz w:val="32"/>
          <w:szCs w:val="32"/>
        </w:rPr>
        <w:t>因此，伍某某与鼎晟公司签订的《协议书》其效力只及于《协议书》的当事人之间，对</w:t>
      </w:r>
      <w:r>
        <w:rPr>
          <w:rFonts w:hint="eastAsia" w:ascii="仿宋" w:hAnsi="仿宋" w:eastAsia="仿宋"/>
          <w:color w:val="auto"/>
          <w:sz w:val="32"/>
          <w:szCs w:val="32"/>
        </w:rPr>
        <w:t>南宁武鸣某村镇银行</w:t>
      </w:r>
      <w:r>
        <w:rPr>
          <w:rFonts w:hint="eastAsia" w:ascii="仿宋" w:hAnsi="仿宋" w:eastAsia="仿宋" w:cs="楷体"/>
          <w:color w:val="auto"/>
          <w:sz w:val="32"/>
          <w:szCs w:val="32"/>
        </w:rPr>
        <w:t>不产生法律效力。故，伍某某仅凭其与鼎晟公司之间的《协议书》要求确认股东身份，当然无法获得法院的支持。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楷体"/>
          <w:color w:val="auto"/>
          <w:sz w:val="32"/>
          <w:szCs w:val="32"/>
        </w:rPr>
      </w:pPr>
      <w:r>
        <w:rPr>
          <w:rFonts w:hint="eastAsia" w:ascii="仿宋" w:hAnsi="仿宋" w:eastAsia="仿宋" w:cs="楷体"/>
          <w:color w:val="auto"/>
          <w:sz w:val="32"/>
          <w:szCs w:val="32"/>
        </w:rPr>
        <w:t>对于隐名股东而言，是否就无法实现显名了吗？当然不是，根据</w:t>
      </w:r>
      <w:r>
        <w:rPr>
          <w:rFonts w:ascii="仿宋" w:hAnsi="仿宋" w:eastAsia="仿宋"/>
          <w:bCs/>
          <w:color w:val="auto"/>
          <w:sz w:val="32"/>
          <w:szCs w:val="32"/>
        </w:rPr>
        <w:t>《最高人民法院关于适用〈中华人民共和国公司法〉若干问题的规定（三）》第二十</w:t>
      </w:r>
      <w:r>
        <w:rPr>
          <w:rFonts w:hint="eastAsia" w:ascii="仿宋" w:hAnsi="仿宋" w:eastAsia="仿宋"/>
          <w:bCs/>
          <w:color w:val="auto"/>
          <w:sz w:val="32"/>
          <w:szCs w:val="32"/>
        </w:rPr>
        <w:t>四</w:t>
      </w:r>
      <w:r>
        <w:rPr>
          <w:rFonts w:ascii="仿宋" w:hAnsi="仿宋" w:eastAsia="仿宋"/>
          <w:bCs/>
          <w:color w:val="auto"/>
          <w:sz w:val="32"/>
          <w:szCs w:val="32"/>
        </w:rPr>
        <w:t>条</w:t>
      </w:r>
      <w:r>
        <w:rPr>
          <w:rFonts w:hint="eastAsia" w:ascii="仿宋" w:hAnsi="仿宋" w:eastAsia="仿宋"/>
          <w:bCs/>
          <w:color w:val="auto"/>
          <w:sz w:val="32"/>
          <w:szCs w:val="32"/>
        </w:rPr>
        <w:t>的规定，有限责任公司的隐名股东经公司其他股东半数以上同意，或者公司半数以上股东知道其是实际出资人的，或者公司半数以上股东对其实际行使股东权利没有异议的，都符合有限责任公司“人合性”的要求，隐名股东可以要求公司将其登记为股东，也可通过诉讼确认其股东身份。</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color w:val="auto"/>
          <w:sz w:val="32"/>
          <w:szCs w:val="32"/>
        </w:rPr>
      </w:pPr>
      <w:r>
        <w:rPr>
          <w:rFonts w:hint="eastAsia" w:ascii="黑体" w:hAnsi="黑体" w:eastAsia="黑体" w:cs="Arial"/>
          <w:color w:val="auto"/>
          <w:sz w:val="32"/>
          <w:szCs w:val="32"/>
        </w:rPr>
        <w:t>【</w:t>
      </w:r>
      <w:r>
        <w:rPr>
          <w:rFonts w:hint="eastAsia" w:ascii="仿宋" w:hAnsi="仿宋" w:eastAsia="仿宋" w:cs="Arial"/>
          <w:color w:val="auto"/>
          <w:sz w:val="32"/>
          <w:szCs w:val="32"/>
        </w:rPr>
        <w:t>结语和建议</w:t>
      </w:r>
      <w:r>
        <w:rPr>
          <w:rFonts w:hint="eastAsia" w:ascii="黑体" w:hAnsi="黑体" w:eastAsia="黑体"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本案涵盖了关于隐名股东如何保护其实际出资权益的程序性和实体性问题。股权作为一种特殊的权利，根据《公司法》的规定，在对外关系上强调的是公示外观主义，故对有限责任公司的隐名股东而言，要想保护自己的权利，对内需要公司确认自己的出资，同时以股东身份参与公司事务，行使股东权利，才能在必要时为自己成为显名股东奠定基础。</w:t>
      </w:r>
    </w:p>
    <w:p>
      <w:pPr>
        <w:keepNext w:val="0"/>
        <w:keepLines w:val="0"/>
        <w:pageBreakBefore w:val="0"/>
        <w:kinsoku/>
        <w:wordWrap/>
        <w:overflowPunct/>
        <w:topLinePunct w:val="0"/>
        <w:autoSpaceDE/>
        <w:autoSpaceDN/>
        <w:bidi w:val="0"/>
        <w:adjustRightInd/>
        <w:snapToGrid/>
        <w:spacing w:line="600" w:lineRule="exact"/>
        <w:ind w:left="0" w:firstLine="640" w:firstLineChars="200"/>
        <w:rPr>
          <w:sz w:val="32"/>
          <w:szCs w:val="32"/>
        </w:rPr>
      </w:pPr>
      <w:r>
        <w:rPr>
          <w:rFonts w:hint="eastAsia" w:ascii="仿宋" w:hAnsi="仿宋" w:eastAsia="仿宋" w:cs="Arial"/>
          <w:color w:val="auto"/>
          <w:sz w:val="32"/>
          <w:szCs w:val="32"/>
        </w:rPr>
        <w:t>同时，也应注意有些行业是不允许代持股的。2019年11月最高人民法院印发的《九民会议纪要》已明确，</w:t>
      </w:r>
      <w:r>
        <w:rPr>
          <w:rFonts w:ascii="仿宋" w:hAnsi="仿宋" w:eastAsia="仿宋"/>
          <w:color w:val="auto"/>
          <w:spacing w:val="11"/>
          <w:kern w:val="0"/>
          <w:sz w:val="32"/>
          <w:szCs w:val="32"/>
        </w:rPr>
        <w:t>强制性规定涉及金融安全、市场秩序、国家宏观政策等公序良俗的</w:t>
      </w:r>
      <w:r>
        <w:rPr>
          <w:rFonts w:hint="eastAsia" w:ascii="仿宋" w:hAnsi="仿宋" w:eastAsia="仿宋"/>
          <w:color w:val="auto"/>
          <w:spacing w:val="11"/>
          <w:kern w:val="0"/>
          <w:sz w:val="32"/>
          <w:szCs w:val="32"/>
        </w:rPr>
        <w:t>，</w:t>
      </w:r>
      <w:r>
        <w:rPr>
          <w:rFonts w:ascii="仿宋" w:hAnsi="仿宋" w:eastAsia="仿宋"/>
          <w:color w:val="auto"/>
          <w:spacing w:val="11"/>
          <w:kern w:val="0"/>
          <w:sz w:val="32"/>
          <w:szCs w:val="32"/>
        </w:rPr>
        <w:t>应当认定为“效力性强制性规定”</w:t>
      </w:r>
      <w:r>
        <w:rPr>
          <w:rFonts w:hint="eastAsia" w:ascii="仿宋" w:hAnsi="仿宋" w:eastAsia="仿宋"/>
          <w:color w:val="auto"/>
          <w:spacing w:val="11"/>
          <w:kern w:val="0"/>
          <w:sz w:val="32"/>
          <w:szCs w:val="32"/>
        </w:rPr>
        <w:t>。</w:t>
      </w:r>
      <w:r>
        <w:rPr>
          <w:rFonts w:ascii="仿宋" w:hAnsi="仿宋" w:eastAsia="仿宋"/>
          <w:color w:val="auto"/>
          <w:spacing w:val="11"/>
          <w:kern w:val="0"/>
          <w:sz w:val="32"/>
          <w:szCs w:val="32"/>
        </w:rPr>
        <w:t>违反规章一般情况下不影响合同效力，但该规章的内容涉及金融安全、市场秩序、国家宏观政策等公序良俗的，应当认定合同无效。</w:t>
      </w:r>
      <w:r>
        <w:rPr>
          <w:rFonts w:hint="eastAsia" w:ascii="仿宋" w:hAnsi="仿宋" w:eastAsia="仿宋"/>
          <w:color w:val="auto"/>
          <w:spacing w:val="11"/>
          <w:kern w:val="0"/>
          <w:sz w:val="32"/>
          <w:szCs w:val="32"/>
        </w:rPr>
        <w:t>中国银监会2018年1月发布的《商业银行股权管理暂行办法》第</w:t>
      </w:r>
      <w:r>
        <w:rPr>
          <w:rFonts w:hint="eastAsia" w:ascii="仿宋" w:hAnsi="仿宋" w:eastAsia="仿宋"/>
          <w:bCs/>
          <w:color w:val="auto"/>
          <w:spacing w:val="11"/>
          <w:kern w:val="0"/>
          <w:sz w:val="32"/>
          <w:szCs w:val="32"/>
        </w:rPr>
        <w:t>十二条</w:t>
      </w:r>
      <w:r>
        <w:rPr>
          <w:rFonts w:hint="eastAsia" w:ascii="仿宋" w:hAnsi="仿宋" w:eastAsia="仿宋" w:cs="宋体"/>
          <w:color w:val="auto"/>
          <w:spacing w:val="11"/>
          <w:kern w:val="0"/>
          <w:sz w:val="32"/>
          <w:szCs w:val="32"/>
        </w:rPr>
        <w:t>规定</w:t>
      </w:r>
      <w:r>
        <w:rPr>
          <w:rFonts w:hint="eastAsia" w:ascii="宋体" w:hAnsi="宋体" w:cs="宋体"/>
          <w:color w:val="auto"/>
          <w:spacing w:val="11"/>
          <w:kern w:val="0"/>
          <w:sz w:val="32"/>
          <w:szCs w:val="32"/>
        </w:rPr>
        <w:t>：“</w:t>
      </w:r>
      <w:r>
        <w:rPr>
          <w:rFonts w:hint="eastAsia" w:ascii="仿宋" w:hAnsi="仿宋" w:eastAsia="仿宋"/>
          <w:color w:val="auto"/>
          <w:spacing w:val="11"/>
          <w:kern w:val="0"/>
          <w:sz w:val="32"/>
          <w:szCs w:val="32"/>
        </w:rPr>
        <w:t>商业银行股东不得委托他人或接受他人委托持有商业银行股权。”故，按现行司法规定，本案中，伍某某与鼎晟公司签订的《协议书》为无效合同，其隐名股东身份不会得到法律的承认。因此，建议投资银行保险等金融行业的人，一定要了解法律法规的规定，审慎投资。</w:t>
      </w:r>
      <w:bookmarkStart w:id="0" w:name="_GoBack"/>
      <w:bookmarkEnd w:id="0"/>
    </w:p>
    <w:sectPr>
      <w:footerReference r:id="rId3" w:type="default"/>
      <w:pgSz w:w="11906" w:h="16838"/>
      <w:pgMar w:top="2155"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483369"/>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34C"/>
    <w:rsid w:val="0004444A"/>
    <w:rsid w:val="000A2F78"/>
    <w:rsid w:val="0016511E"/>
    <w:rsid w:val="001A4467"/>
    <w:rsid w:val="00271337"/>
    <w:rsid w:val="00284D3A"/>
    <w:rsid w:val="002C5137"/>
    <w:rsid w:val="002E14FA"/>
    <w:rsid w:val="003030C9"/>
    <w:rsid w:val="00322F13"/>
    <w:rsid w:val="00365F8F"/>
    <w:rsid w:val="00386442"/>
    <w:rsid w:val="003E1D29"/>
    <w:rsid w:val="00443CB9"/>
    <w:rsid w:val="00491297"/>
    <w:rsid w:val="004E18A5"/>
    <w:rsid w:val="00530D68"/>
    <w:rsid w:val="00621798"/>
    <w:rsid w:val="006A7954"/>
    <w:rsid w:val="006E290B"/>
    <w:rsid w:val="006F040B"/>
    <w:rsid w:val="00701EA1"/>
    <w:rsid w:val="00804313"/>
    <w:rsid w:val="008376AE"/>
    <w:rsid w:val="00897ACD"/>
    <w:rsid w:val="008C78C6"/>
    <w:rsid w:val="008F0B5F"/>
    <w:rsid w:val="009338FD"/>
    <w:rsid w:val="00953DF6"/>
    <w:rsid w:val="00961CED"/>
    <w:rsid w:val="009B7FE7"/>
    <w:rsid w:val="00A85D94"/>
    <w:rsid w:val="00AA4364"/>
    <w:rsid w:val="00B07B1B"/>
    <w:rsid w:val="00B94054"/>
    <w:rsid w:val="00CD5AB2"/>
    <w:rsid w:val="00D1036B"/>
    <w:rsid w:val="00D47A17"/>
    <w:rsid w:val="00D6434C"/>
    <w:rsid w:val="00DC3AA6"/>
    <w:rsid w:val="00DF41C7"/>
    <w:rsid w:val="00E6067C"/>
    <w:rsid w:val="00E82A11"/>
    <w:rsid w:val="00E913A2"/>
    <w:rsid w:val="00E9369D"/>
    <w:rsid w:val="00E96C16"/>
    <w:rsid w:val="00F07125"/>
    <w:rsid w:val="00F13A89"/>
    <w:rsid w:val="00FC477A"/>
    <w:rsid w:val="10E62D83"/>
    <w:rsid w:val="2A7B73E0"/>
    <w:rsid w:val="2DFF3804"/>
    <w:rsid w:val="7C5962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qFormat/>
    <w:uiPriority w:val="0"/>
    <w:rPr>
      <w:rFonts w:ascii="Calibri" w:hAnsi="Calibri" w:eastAsia="宋体" w:cs="Times New Roman"/>
      <w:kern w:val="2"/>
      <w:sz w:val="18"/>
      <w:szCs w:val="18"/>
    </w:rPr>
  </w:style>
  <w:style w:type="character" w:customStyle="1" w:styleId="9">
    <w:name w:val="页脚 Char"/>
    <w:basedOn w:val="6"/>
    <w:link w:val="3"/>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12</Pages>
  <Words>835</Words>
  <Characters>4766</Characters>
  <Lines>39</Lines>
  <Paragraphs>11</Paragraphs>
  <TotalTime>371</TotalTime>
  <ScaleCrop>false</ScaleCrop>
  <LinksUpToDate>false</LinksUpToDate>
  <CharactersWithSpaces>5590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2021-12-21T08:56:59Z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