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Arial"/>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u w:val="single"/>
        </w:rPr>
      </w:pPr>
      <w:r>
        <w:rPr>
          <w:rFonts w:hint="eastAsia" w:ascii="仿宋" w:hAnsi="仿宋" w:eastAsia="仿宋" w:cs="仿宋"/>
          <w:sz w:val="32"/>
          <w:szCs w:val="32"/>
        </w:rPr>
        <w:t xml:space="preserve">案例类型：  </w:t>
      </w:r>
      <w:r>
        <w:rPr>
          <w:rFonts w:hint="eastAsia" w:ascii="仿宋" w:hAnsi="仿宋" w:eastAsia="仿宋" w:cs="仿宋"/>
          <w:sz w:val="32"/>
          <w:szCs w:val="32"/>
          <w:u w:val="single"/>
        </w:rPr>
        <w:t xml:space="preserve">律师诉讼案例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u w:val="single"/>
        </w:rPr>
      </w:pPr>
      <w:r>
        <w:rPr>
          <w:rFonts w:hint="eastAsia" w:ascii="仿宋" w:hAnsi="仿宋" w:eastAsia="仿宋" w:cs="仿宋"/>
          <w:sz w:val="32"/>
          <w:szCs w:val="32"/>
        </w:rPr>
        <w:t>业务类型：</w:t>
      </w:r>
      <w:r>
        <w:rPr>
          <w:rFonts w:hint="eastAsia" w:ascii="仿宋" w:hAnsi="仿宋" w:eastAsia="仿宋" w:cs="仿宋"/>
          <w:sz w:val="32"/>
          <w:szCs w:val="32"/>
          <w:u w:val="single"/>
        </w:rPr>
        <w:t xml:space="preserve">  建设工程合同纠纷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法院判决时间：</w:t>
      </w:r>
      <w:r>
        <w:rPr>
          <w:rFonts w:hint="eastAsia" w:ascii="仿宋" w:hAnsi="仿宋" w:eastAsia="仿宋" w:cs="仿宋"/>
          <w:sz w:val="32"/>
          <w:szCs w:val="32"/>
          <w:u w:val="single"/>
        </w:rPr>
        <w:t xml:space="preserve">  2020年12月14日收到判决书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法院名称：</w:t>
      </w:r>
      <w:r>
        <w:rPr>
          <w:rFonts w:hint="eastAsia" w:ascii="仿宋" w:hAnsi="仿宋" w:eastAsia="仿宋" w:cs="仿宋"/>
          <w:sz w:val="32"/>
          <w:szCs w:val="32"/>
          <w:u w:val="single"/>
        </w:rPr>
        <w:t xml:space="preserve">     南宁市良庆区人民法院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代理律师姓名：</w:t>
      </w:r>
      <w:r>
        <w:rPr>
          <w:rFonts w:hint="eastAsia" w:ascii="仿宋" w:hAnsi="仿宋" w:eastAsia="仿宋" w:cs="仿宋"/>
          <w:sz w:val="32"/>
          <w:szCs w:val="32"/>
          <w:u w:val="single"/>
        </w:rPr>
        <w:t xml:space="preserve">   敬彬儒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律师事务所名称：</w:t>
      </w:r>
      <w:r>
        <w:rPr>
          <w:rFonts w:hint="eastAsia" w:ascii="仿宋" w:hAnsi="仿宋" w:eastAsia="仿宋" w:cs="仿宋"/>
          <w:sz w:val="32"/>
          <w:szCs w:val="32"/>
          <w:u w:val="single"/>
        </w:rPr>
        <w:t xml:space="preserve"> 广西南国雄鹰律师事务所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u w:val="single"/>
        </w:rPr>
      </w:pPr>
      <w:r>
        <w:rPr>
          <w:rFonts w:hint="eastAsia" w:ascii="仿宋" w:hAnsi="仿宋" w:eastAsia="仿宋" w:cs="仿宋"/>
          <w:sz w:val="32"/>
          <w:szCs w:val="32"/>
        </w:rPr>
        <w:t>供稿：</w:t>
      </w:r>
      <w:r>
        <w:rPr>
          <w:rFonts w:hint="eastAsia" w:ascii="仿宋" w:hAnsi="仿宋" w:eastAsia="仿宋" w:cs="仿宋"/>
          <w:sz w:val="32"/>
          <w:szCs w:val="32"/>
          <w:u w:val="single"/>
        </w:rPr>
        <w:t xml:space="preserve">  广西南国雄鹰律师事务所 </w:t>
      </w:r>
      <w:r>
        <w:rPr>
          <w:rFonts w:hint="eastAsia" w:ascii="仿宋" w:hAnsi="仿宋" w:eastAsia="仿宋" w:cs="仿宋"/>
          <w:sz w:val="32"/>
          <w:szCs w:val="32"/>
          <w:u w:val="single"/>
          <w:lang w:val="en-US" w:eastAsia="zh-CN"/>
        </w:rPr>
        <w:t>唐茂连</w:t>
      </w:r>
      <w:r>
        <w:rPr>
          <w:rFonts w:hint="eastAsia" w:ascii="仿宋" w:hAnsi="仿宋" w:eastAsia="仿宋" w:cs="仿宋"/>
          <w:sz w:val="32"/>
          <w:szCs w:val="32"/>
          <w:u w:val="single"/>
        </w:rPr>
        <w:t xml:space="preserve">                     </w:t>
      </w:r>
    </w:p>
    <w:p>
      <w:pPr>
        <w:pStyle w:val="8"/>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审稿（实名，逐级）：</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唐茂连、孙小娟、敬彬儒</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asciiTheme="minorEastAsia" w:hAnsiTheme="minorEastAsia" w:eastAsiaTheme="minorEastAsia" w:cstheme="minorEastAsia"/>
          <w:sz w:val="36"/>
          <w:szCs w:val="36"/>
          <w:u w:val="single"/>
        </w:rPr>
      </w:pPr>
      <w:r>
        <w:rPr>
          <w:rFonts w:hint="eastAsia" w:ascii="仿宋" w:hAnsi="仿宋" w:eastAsia="仿宋" w:cs="仿宋"/>
          <w:sz w:val="32"/>
          <w:szCs w:val="32"/>
        </w:rPr>
        <w:t>检索主题词：</w:t>
      </w:r>
      <w:r>
        <w:rPr>
          <w:rFonts w:hint="eastAsia" w:ascii="仿宋" w:hAnsi="仿宋" w:eastAsia="仿宋" w:cs="仿宋"/>
          <w:sz w:val="32"/>
          <w:szCs w:val="32"/>
          <w:u w:val="single"/>
        </w:rPr>
        <w:t xml:space="preserve">建设工程合同无效   建设工程合同纠纷 实际施工人  合同相对性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长城小标宋体" w:hAnsi="仿宋" w:eastAsia="长城小标宋体" w:cs="Arial"/>
          <w:sz w:val="36"/>
          <w:szCs w:val="36"/>
        </w:rPr>
      </w:pPr>
      <w:r>
        <w:rPr>
          <w:rFonts w:hint="eastAsia" w:ascii="黑体" w:hAnsi="黑体" w:eastAsia="黑体" w:cs="Arial"/>
          <w:sz w:val="32"/>
          <w:szCs w:val="32"/>
        </w:rPr>
        <w:t>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360" w:firstLineChars="100"/>
        <w:textAlignment w:val="auto"/>
        <w:rPr>
          <w:rFonts w:ascii="仿宋" w:hAnsi="仿宋" w:eastAsia="仿宋" w:cs="仿宋"/>
          <w:sz w:val="32"/>
          <w:szCs w:val="32"/>
        </w:rPr>
      </w:pPr>
      <w:r>
        <w:rPr>
          <w:rFonts w:hint="eastAsia" w:ascii="宋体" w:hAnsi="宋体" w:eastAsia="宋体" w:cs="宋体"/>
          <w:sz w:val="36"/>
          <w:szCs w:val="36"/>
        </w:rPr>
        <w:t>蓝某诉范某</w:t>
      </w:r>
      <w:r>
        <w:rPr>
          <w:rFonts w:hint="eastAsia" w:ascii="宋体" w:hAnsi="宋体" w:cs="宋体"/>
          <w:sz w:val="36"/>
          <w:szCs w:val="36"/>
          <w:lang w:val="en-US" w:eastAsia="zh-CN"/>
        </w:rPr>
        <w:t>及</w:t>
      </w:r>
      <w:r>
        <w:rPr>
          <w:rFonts w:hint="eastAsia" w:ascii="宋体" w:hAnsi="宋体" w:eastAsia="宋体" w:cs="宋体"/>
          <w:sz w:val="36"/>
          <w:szCs w:val="36"/>
        </w:rPr>
        <w:t>广西某</w:t>
      </w:r>
      <w:r>
        <w:rPr>
          <w:rFonts w:hint="eastAsia" w:ascii="宋体" w:hAnsi="宋体" w:cs="宋体"/>
          <w:sz w:val="36"/>
          <w:szCs w:val="36"/>
          <w:lang w:val="en-US" w:eastAsia="zh-CN"/>
        </w:rPr>
        <w:t>建筑</w:t>
      </w:r>
      <w:r>
        <w:rPr>
          <w:rFonts w:hint="eastAsia" w:ascii="宋体" w:hAnsi="宋体" w:eastAsia="宋体" w:cs="宋体"/>
          <w:sz w:val="36"/>
          <w:szCs w:val="36"/>
        </w:rPr>
        <w:t>公司</w:t>
      </w:r>
      <w:r>
        <w:rPr>
          <w:rFonts w:hint="eastAsia" w:ascii="宋体" w:hAnsi="宋体" w:cs="宋体"/>
          <w:sz w:val="36"/>
          <w:szCs w:val="36"/>
          <w:lang w:val="en-US" w:eastAsia="zh-CN"/>
        </w:rPr>
        <w:t>等</w:t>
      </w:r>
      <w:r>
        <w:rPr>
          <w:rFonts w:hint="eastAsia" w:ascii="宋体" w:hAnsi="宋体" w:eastAsia="宋体" w:cs="宋体"/>
          <w:sz w:val="36"/>
          <w:szCs w:val="36"/>
        </w:rPr>
        <w:t>建设工程合同纠纷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2016年底</w:t>
      </w:r>
      <w:r>
        <w:rPr>
          <w:rFonts w:hint="eastAsia" w:ascii="仿宋" w:hAnsi="仿宋" w:eastAsia="仿宋" w:cs="仿宋"/>
          <w:sz w:val="32"/>
          <w:szCs w:val="32"/>
          <w:lang w:eastAsia="zh-CN"/>
        </w:rPr>
        <w:t>，</w:t>
      </w:r>
      <w:r>
        <w:rPr>
          <w:rFonts w:hint="eastAsia" w:ascii="仿宋" w:hAnsi="仿宋" w:eastAsia="仿宋" w:cs="仿宋"/>
          <w:sz w:val="32"/>
          <w:szCs w:val="32"/>
        </w:rPr>
        <w:t>范某通过</w:t>
      </w:r>
      <w:r>
        <w:rPr>
          <w:rFonts w:hint="eastAsia" w:ascii="仿宋" w:hAnsi="仿宋" w:eastAsia="仿宋" w:cs="仿宋"/>
          <w:sz w:val="32"/>
          <w:szCs w:val="32"/>
          <w:lang w:val="en-US" w:eastAsia="zh-CN"/>
        </w:rPr>
        <w:t>其</w:t>
      </w:r>
      <w:r>
        <w:rPr>
          <w:rFonts w:hint="eastAsia" w:ascii="仿宋" w:hAnsi="仿宋" w:eastAsia="仿宋" w:cs="仿宋"/>
          <w:sz w:val="32"/>
          <w:szCs w:val="32"/>
        </w:rPr>
        <w:t>挂靠</w:t>
      </w:r>
      <w:r>
        <w:rPr>
          <w:rFonts w:hint="eastAsia" w:ascii="仿宋" w:hAnsi="仿宋" w:eastAsia="仿宋" w:cs="仿宋"/>
          <w:sz w:val="32"/>
          <w:szCs w:val="32"/>
          <w:lang w:val="en-US" w:eastAsia="zh-CN"/>
        </w:rPr>
        <w:t>的</w:t>
      </w:r>
      <w:r>
        <w:rPr>
          <w:rFonts w:hint="eastAsia" w:ascii="仿宋" w:hAnsi="仿宋" w:eastAsia="仿宋" w:cs="仿宋"/>
          <w:sz w:val="32"/>
          <w:szCs w:val="32"/>
        </w:rPr>
        <w:t>某劳务公司名义，从广西某建筑公司承包某大厦消防工程的劳务</w:t>
      </w:r>
      <w:r>
        <w:rPr>
          <w:rFonts w:hint="eastAsia" w:ascii="仿宋" w:hAnsi="仿宋" w:eastAsia="仿宋" w:cs="仿宋"/>
          <w:sz w:val="32"/>
          <w:szCs w:val="32"/>
          <w:lang w:val="en-US" w:eastAsia="zh-CN"/>
        </w:rPr>
        <w:t>工程</w:t>
      </w:r>
      <w:r>
        <w:rPr>
          <w:rFonts w:hint="eastAsia" w:ascii="仿宋" w:hAnsi="仿宋" w:eastAsia="仿宋" w:cs="仿宋"/>
          <w:sz w:val="32"/>
          <w:szCs w:val="32"/>
        </w:rPr>
        <w:t>。2017年12月范某以个人名义将该工程的部分工程分包</w:t>
      </w:r>
      <w:r>
        <w:rPr>
          <w:rFonts w:hint="eastAsia" w:ascii="仿宋" w:hAnsi="仿宋" w:eastAsia="仿宋" w:cs="仿宋"/>
          <w:sz w:val="32"/>
          <w:szCs w:val="32"/>
          <w:lang w:val="en-US" w:eastAsia="zh-CN"/>
        </w:rPr>
        <w:t>给</w:t>
      </w:r>
      <w:r>
        <w:rPr>
          <w:rFonts w:hint="eastAsia" w:ascii="仿宋" w:hAnsi="仿宋" w:eastAsia="仿宋" w:cs="仿宋"/>
          <w:sz w:val="32"/>
          <w:szCs w:val="32"/>
        </w:rPr>
        <w:t>蓝某，双方签订《消防及给排水劳务分包施工合同书》，</w:t>
      </w:r>
      <w:r>
        <w:rPr>
          <w:rFonts w:hint="eastAsia" w:ascii="仿宋" w:hAnsi="仿宋" w:eastAsia="仿宋" w:cs="仿宋"/>
          <w:sz w:val="32"/>
          <w:szCs w:val="32"/>
          <w:lang w:val="en-US" w:eastAsia="zh-CN"/>
        </w:rPr>
        <w:t>约定</w:t>
      </w:r>
      <w:r>
        <w:rPr>
          <w:rFonts w:hint="eastAsia" w:ascii="仿宋" w:hAnsi="仿宋" w:eastAsia="仿宋" w:cs="仿宋"/>
          <w:sz w:val="32"/>
          <w:szCs w:val="32"/>
        </w:rPr>
        <w:t>由蓝某的劳务队承包该大厦消防及给排水工程</w:t>
      </w:r>
      <w:r>
        <w:rPr>
          <w:rFonts w:hint="eastAsia" w:ascii="仿宋" w:hAnsi="仿宋" w:eastAsia="仿宋" w:cs="仿宋"/>
          <w:sz w:val="32"/>
          <w:szCs w:val="32"/>
          <w:lang w:eastAsia="zh-CN"/>
        </w:rPr>
        <w:t>，</w:t>
      </w:r>
      <w:r>
        <w:rPr>
          <w:rFonts w:hint="eastAsia" w:ascii="仿宋" w:hAnsi="仿宋" w:eastAsia="仿宋" w:cs="仿宋"/>
          <w:sz w:val="32"/>
          <w:szCs w:val="32"/>
        </w:rPr>
        <w:t>工程承包形式为包工不包料</w:t>
      </w:r>
      <w:r>
        <w:rPr>
          <w:rFonts w:hint="eastAsia" w:ascii="仿宋" w:hAnsi="仿宋" w:eastAsia="仿宋" w:cs="仿宋"/>
          <w:sz w:val="32"/>
          <w:szCs w:val="32"/>
          <w:lang w:eastAsia="zh-CN"/>
        </w:rPr>
        <w:t>，</w:t>
      </w:r>
      <w:r>
        <w:rPr>
          <w:rFonts w:hint="eastAsia" w:ascii="仿宋" w:hAnsi="仿宋" w:eastAsia="仿宋" w:cs="仿宋"/>
          <w:sz w:val="32"/>
          <w:szCs w:val="32"/>
        </w:rPr>
        <w:t>承包内容及范围为智能应急疏散照明标志灯系统、火灾自动报警系统、消防电源监控、漏电火灾报警系统等非主体性建设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w:t>
      </w:r>
      <w:bookmarkStart w:id="0" w:name="_Hlk61033103"/>
      <w:bookmarkStart w:id="1" w:name="_Hlk61117768"/>
      <w:r>
        <w:rPr>
          <w:rFonts w:hint="eastAsia" w:ascii="仿宋" w:hAnsi="仿宋" w:eastAsia="仿宋" w:cs="仿宋"/>
          <w:sz w:val="32"/>
          <w:szCs w:val="32"/>
        </w:rPr>
        <w:t>蓝某自行中途退场造成</w:t>
      </w:r>
      <w:r>
        <w:rPr>
          <w:rFonts w:hint="eastAsia" w:ascii="仿宋" w:hAnsi="仿宋" w:eastAsia="仿宋" w:cs="仿宋"/>
          <w:sz w:val="32"/>
          <w:szCs w:val="32"/>
          <w:lang w:val="en-US" w:eastAsia="zh-CN"/>
        </w:rPr>
        <w:t>合同</w:t>
      </w:r>
      <w:r>
        <w:rPr>
          <w:rFonts w:hint="eastAsia" w:ascii="仿宋" w:hAnsi="仿宋" w:eastAsia="仿宋" w:cs="仿宋"/>
          <w:sz w:val="32"/>
          <w:szCs w:val="32"/>
        </w:rPr>
        <w:t>解除，按原定劳务价格的70%</w:t>
      </w:r>
      <w:r>
        <w:rPr>
          <w:rFonts w:hint="eastAsia" w:ascii="仿宋" w:hAnsi="仿宋" w:eastAsia="仿宋" w:cs="仿宋"/>
          <w:sz w:val="32"/>
          <w:szCs w:val="32"/>
          <w:lang w:val="en-US" w:eastAsia="zh-CN"/>
        </w:rPr>
        <w:t>对合格工程量进行</w:t>
      </w:r>
      <w:r>
        <w:rPr>
          <w:rFonts w:hint="eastAsia" w:ascii="仿宋" w:hAnsi="仿宋" w:eastAsia="仿宋" w:cs="仿宋"/>
          <w:sz w:val="32"/>
          <w:szCs w:val="32"/>
        </w:rPr>
        <w:t>最终结算。</w:t>
      </w:r>
      <w:bookmarkEnd w:id="0"/>
      <w:bookmarkEnd w:id="1"/>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合同签订后，</w:t>
      </w:r>
      <w:r>
        <w:rPr>
          <w:rFonts w:hint="eastAsia" w:ascii="仿宋" w:hAnsi="仿宋" w:eastAsia="仿宋" w:cs="仿宋"/>
          <w:sz w:val="32"/>
          <w:szCs w:val="32"/>
        </w:rPr>
        <w:t>蓝某组织劳务队于2017年12月至2019年5月期间进场施工，并且完成了价值1756831.48元的劳务量，范某按照其劳务量的100%</w:t>
      </w:r>
      <w:r>
        <w:rPr>
          <w:rFonts w:hint="eastAsia" w:ascii="仿宋" w:hAnsi="仿宋" w:eastAsia="仿宋" w:cs="仿宋"/>
          <w:sz w:val="32"/>
          <w:szCs w:val="32"/>
          <w:lang w:val="en-US" w:eastAsia="zh-CN"/>
        </w:rPr>
        <w:t>足额支付了</w:t>
      </w:r>
      <w:r>
        <w:rPr>
          <w:rFonts w:hint="eastAsia" w:ascii="仿宋" w:hAnsi="仿宋" w:eastAsia="仿宋" w:cs="仿宋"/>
          <w:sz w:val="32"/>
          <w:szCs w:val="32"/>
        </w:rPr>
        <w:t>1756831.48元</w:t>
      </w:r>
      <w:r>
        <w:rPr>
          <w:rFonts w:hint="eastAsia" w:ascii="仿宋" w:hAnsi="仿宋" w:eastAsia="仿宋" w:cs="仿宋"/>
          <w:sz w:val="32"/>
          <w:szCs w:val="32"/>
          <w:lang w:val="en-US" w:eastAsia="zh-CN"/>
        </w:rPr>
        <w:t>工程款</w:t>
      </w:r>
      <w:r>
        <w:rPr>
          <w:rFonts w:hint="eastAsia" w:ascii="仿宋" w:hAnsi="仿宋" w:eastAsia="仿宋" w:cs="仿宋"/>
          <w:sz w:val="32"/>
          <w:szCs w:val="32"/>
        </w:rPr>
        <w:t>。而后蓝某因个人原因让劳务队退场，退场时部分承包内容</w:t>
      </w:r>
      <w:r>
        <w:rPr>
          <w:rFonts w:hint="eastAsia" w:ascii="仿宋" w:hAnsi="仿宋" w:eastAsia="仿宋" w:cs="仿宋"/>
          <w:sz w:val="32"/>
          <w:szCs w:val="32"/>
          <w:lang w:val="en-US" w:eastAsia="zh-CN"/>
        </w:rPr>
        <w:t>尚</w:t>
      </w:r>
      <w:r>
        <w:rPr>
          <w:rFonts w:hint="eastAsia" w:ascii="仿宋" w:hAnsi="仿宋" w:eastAsia="仿宋" w:cs="仿宋"/>
          <w:sz w:val="32"/>
          <w:szCs w:val="32"/>
        </w:rPr>
        <w:t>未完成，范某只能另请劳务队完成剩余工程。该大厦于2019年12月竣工，经验收合格并投入使用。后蓝某将范某</w:t>
      </w:r>
      <w:r>
        <w:rPr>
          <w:rFonts w:hint="eastAsia" w:ascii="仿宋" w:hAnsi="仿宋" w:eastAsia="仿宋" w:cs="仿宋"/>
          <w:sz w:val="32"/>
          <w:szCs w:val="32"/>
          <w:lang w:eastAsia="zh-CN"/>
        </w:rPr>
        <w:t>、</w:t>
      </w:r>
      <w:r>
        <w:rPr>
          <w:rFonts w:hint="eastAsia" w:ascii="仿宋" w:hAnsi="仿宋" w:eastAsia="仿宋" w:cs="仿宋"/>
          <w:color w:val="000000"/>
          <w:sz w:val="32"/>
          <w:szCs w:val="32"/>
        </w:rPr>
        <w:t>广西某建筑公司</w:t>
      </w:r>
      <w:r>
        <w:rPr>
          <w:rFonts w:hint="eastAsia" w:ascii="仿宋" w:hAnsi="仿宋" w:eastAsia="仿宋" w:cs="仿宋"/>
          <w:color w:val="000000"/>
          <w:sz w:val="32"/>
          <w:szCs w:val="32"/>
          <w:lang w:val="en-US" w:eastAsia="zh-CN"/>
        </w:rPr>
        <w:t>及其</w:t>
      </w:r>
      <w:r>
        <w:rPr>
          <w:rFonts w:hint="eastAsia" w:ascii="仿宋" w:hAnsi="仿宋" w:eastAsia="仿宋" w:cs="仿宋"/>
          <w:color w:val="000000"/>
          <w:sz w:val="32"/>
          <w:szCs w:val="32"/>
        </w:rPr>
        <w:t>南宁分公司、广西某投资集团有限公司</w:t>
      </w:r>
      <w:r>
        <w:rPr>
          <w:rFonts w:hint="eastAsia" w:ascii="仿宋" w:hAnsi="仿宋" w:eastAsia="仿宋" w:cs="仿宋"/>
          <w:color w:val="000000"/>
          <w:sz w:val="32"/>
          <w:szCs w:val="32"/>
          <w:lang w:val="en-US" w:eastAsia="zh-CN"/>
        </w:rPr>
        <w:t>一并</w:t>
      </w:r>
      <w:r>
        <w:rPr>
          <w:rFonts w:hint="eastAsia" w:ascii="仿宋" w:hAnsi="仿宋" w:eastAsia="仿宋" w:cs="仿宋"/>
          <w:sz w:val="32"/>
          <w:szCs w:val="32"/>
        </w:rPr>
        <w:t>诉至法院，要求支付拖欠的工程款。范某提出反诉，要求蓝某退回多支付的30%工程款。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【代理意见】</w:t>
      </w:r>
    </w:p>
    <w:p>
      <w:pPr>
        <w:pStyle w:val="9"/>
        <w:keepNext w:val="0"/>
        <w:keepLines w:val="0"/>
        <w:pageBreakBefore w:val="0"/>
        <w:kinsoku/>
        <w:wordWrap/>
        <w:overflowPunct/>
        <w:topLinePunct w:val="0"/>
        <w:autoSpaceDE/>
        <w:autoSpaceDN/>
        <w:bidi w:val="0"/>
        <w:adjustRightInd/>
        <w:snapToGrid/>
        <w:spacing w:line="600" w:lineRule="exact"/>
        <w:ind w:firstLine="642"/>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广西南国雄鹰律师事务所接受被告范某（反诉原告）的委托，指派敬彬儒律师担任其代理人参与了本案诉讼。</w:t>
      </w:r>
    </w:p>
    <w:p>
      <w:pPr>
        <w:pStyle w:val="9"/>
        <w:keepNext w:val="0"/>
        <w:keepLines w:val="0"/>
        <w:pageBreakBefore w:val="0"/>
        <w:kinsoku/>
        <w:wordWrap/>
        <w:overflowPunct/>
        <w:topLinePunct w:val="0"/>
        <w:autoSpaceDE/>
        <w:autoSpaceDN/>
        <w:bidi w:val="0"/>
        <w:adjustRightInd/>
        <w:snapToGrid/>
        <w:spacing w:line="600" w:lineRule="exact"/>
        <w:ind w:firstLine="642"/>
        <w:jc w:val="left"/>
        <w:textAlignment w:val="auto"/>
        <w:rPr>
          <w:rFonts w:ascii="仿宋" w:hAnsi="仿宋" w:eastAsia="仿宋" w:cs="仿宋"/>
          <w:sz w:val="32"/>
          <w:szCs w:val="32"/>
          <w:lang w:val="en-US" w:eastAsia="zh-CN"/>
        </w:rPr>
      </w:pPr>
      <w:r>
        <w:rPr>
          <w:rFonts w:hint="eastAsia" w:ascii="仿宋" w:hAnsi="仿宋" w:eastAsia="仿宋" w:cs="仿宋"/>
          <w:color w:val="000000"/>
          <w:sz w:val="32"/>
          <w:szCs w:val="32"/>
          <w:lang w:val="en-US" w:eastAsia="zh-CN"/>
        </w:rPr>
        <w:t>本案为建设工程分包合同纠纷，因合同双方均为自然人，不具备承包及发包资质，明显违反法律强制性规定，该分包合同无效。虽然合同无效，但是在蓝某撤场时，双方仍然</w:t>
      </w:r>
      <w:r>
        <w:rPr>
          <w:rFonts w:hint="eastAsia" w:ascii="仿宋" w:hAnsi="仿宋" w:eastAsia="仿宋" w:cs="仿宋"/>
          <w:sz w:val="32"/>
          <w:szCs w:val="32"/>
          <w:lang w:val="en-US" w:eastAsia="zh-CN"/>
        </w:rPr>
        <w:t>对已经完成的劳务工程量进行了足额结算完毕，而按照约定蓝某从范某处多领取了劳务款，应予返还并支付资金占用费。</w:t>
      </w:r>
    </w:p>
    <w:p>
      <w:pPr>
        <w:pStyle w:val="9"/>
        <w:keepNext w:val="0"/>
        <w:keepLines w:val="0"/>
        <w:pageBreakBefore w:val="0"/>
        <w:kinsoku/>
        <w:wordWrap/>
        <w:overflowPunct/>
        <w:topLinePunct w:val="0"/>
        <w:autoSpaceDE/>
        <w:autoSpaceDN/>
        <w:bidi w:val="0"/>
        <w:adjustRightInd/>
        <w:snapToGrid/>
        <w:spacing w:line="600" w:lineRule="exact"/>
        <w:ind w:firstLine="642"/>
        <w:jc w:val="left"/>
        <w:textAlignment w:val="auto"/>
        <w:rPr>
          <w:rFonts w:ascii="仿宋" w:hAnsi="仿宋" w:eastAsia="仿宋" w:cs="仿宋"/>
          <w:sz w:val="32"/>
          <w:szCs w:val="32"/>
          <w:lang w:val="en-US" w:eastAsia="zh-CN"/>
        </w:rPr>
      </w:pPr>
      <w:r>
        <w:rPr>
          <w:rFonts w:hint="eastAsia" w:ascii="仿宋" w:hAnsi="仿宋" w:eastAsia="仿宋" w:cs="仿宋"/>
          <w:sz w:val="32"/>
          <w:szCs w:val="32"/>
          <w:lang w:val="en-US" w:eastAsia="zh-CN"/>
        </w:rPr>
        <w:t>针对蓝某的起诉，敬彬儒律师代理范某提出了反诉：蓝某与范某于2017年12月26日签订的《消防及给排水工程劳务分包合同书》中约定：“如蓝某中途退出造成解除全责的，按照原定劳务价格的70%对所完成并且合格工程量进行劳务费的最终结算。”2019年1月春节，蓝某与范某对已完成的工程量进行结算，范某已支付完毕所有劳务款，并得到蓝某书面确认。蓝某在合同未履行完毕的状态下于同年5月退场，依照合同约定</w:t>
      </w:r>
      <w:r>
        <w:rPr>
          <w:rFonts w:ascii="仿宋" w:hAnsi="仿宋" w:eastAsia="仿宋" w:cs="仿宋"/>
          <w:sz w:val="32"/>
          <w:szCs w:val="32"/>
          <w:lang w:val="en-US" w:eastAsia="zh-CN"/>
        </w:rPr>
        <w:t>，</w:t>
      </w:r>
      <w:r>
        <w:rPr>
          <w:rFonts w:hint="eastAsia" w:ascii="仿宋" w:hAnsi="仿宋" w:eastAsia="仿宋" w:cs="仿宋"/>
          <w:sz w:val="32"/>
          <w:szCs w:val="32"/>
          <w:lang w:val="en-US" w:eastAsia="zh-CN"/>
        </w:rPr>
        <w:t>应该按劳务价格的1756831.48元的70%计算，但范某按照100%结算，故多支付了30%劳务款即527049.44（1756831.48元*30%）。</w:t>
      </w:r>
    </w:p>
    <w:p>
      <w:pPr>
        <w:pStyle w:val="9"/>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color w:val="000000"/>
          <w:sz w:val="32"/>
          <w:szCs w:val="32"/>
          <w:lang w:val="en-US" w:eastAsia="zh-CN"/>
        </w:rPr>
        <w:t>本案涉及的劳务分包合同是由无承发包资质的自然人签订，因双</w:t>
      </w:r>
      <w:r>
        <w:rPr>
          <w:rFonts w:ascii="仿宋" w:hAnsi="仿宋" w:eastAsia="仿宋" w:cs="仿宋"/>
          <w:color w:val="000000"/>
          <w:sz w:val="32"/>
          <w:szCs w:val="32"/>
          <w:lang w:val="en-US" w:eastAsia="zh-CN"/>
        </w:rPr>
        <w:t>方皆无</w:t>
      </w:r>
      <w:r>
        <w:rPr>
          <w:rFonts w:hint="eastAsia" w:ascii="仿宋" w:hAnsi="仿宋" w:eastAsia="仿宋" w:cs="仿宋"/>
          <w:color w:val="000000"/>
          <w:sz w:val="32"/>
          <w:szCs w:val="32"/>
          <w:lang w:val="en-US" w:eastAsia="zh-CN"/>
        </w:rPr>
        <w:t>劳务</w:t>
      </w:r>
      <w:r>
        <w:rPr>
          <w:rFonts w:ascii="仿宋" w:hAnsi="仿宋" w:eastAsia="仿宋" w:cs="仿宋"/>
          <w:color w:val="000000"/>
          <w:sz w:val="32"/>
          <w:szCs w:val="32"/>
          <w:lang w:val="en-US" w:eastAsia="zh-CN"/>
        </w:rPr>
        <w:t>施工资质，故</w:t>
      </w:r>
      <w:r>
        <w:rPr>
          <w:rFonts w:hint="eastAsia" w:ascii="仿宋" w:hAnsi="仿宋" w:eastAsia="仿宋" w:cs="仿宋"/>
          <w:color w:val="000000"/>
          <w:sz w:val="32"/>
          <w:szCs w:val="32"/>
          <w:lang w:val="en-US" w:eastAsia="zh-CN"/>
        </w:rPr>
        <w:t>属无效合同。承包人蓝某所完成的工作经验收合格时可以参照合同约定请求支付工程价款，但无权要求按广西某建筑公司与广西某投资集团有限公司之间的定额标准结算工程款。发包人范某也可以请求参照合同约定支付工程价款，同时还可以引用合同约定的有关结算的条款进行结算。双方签订的《消防及给排水工程劳务分包合同书》中约定“承包方自行中途退场造成解除本合同的，按原定劳务价格的70%对所完成并且合格工程量进行劳务费的最终结算。”所以在承包人蓝某中途退场的情况下，发包人范某可以依合同约定按70%的劳务费进行结算。范某实际已按100%的劳务费支付给蓝某，可以要求蓝某返还多支付的30%劳务费及相应的资金占用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本案的</w:t>
      </w:r>
      <w:r>
        <w:rPr>
          <w:rFonts w:ascii="仿宋" w:hAnsi="仿宋" w:eastAsia="仿宋" w:cs="仿宋"/>
          <w:sz w:val="32"/>
          <w:szCs w:val="32"/>
        </w:rPr>
        <w:t>一审</w:t>
      </w:r>
      <w:r>
        <w:rPr>
          <w:rFonts w:hint="eastAsia" w:ascii="仿宋" w:hAnsi="仿宋" w:eastAsia="仿宋" w:cs="仿宋"/>
          <w:sz w:val="32"/>
          <w:szCs w:val="32"/>
        </w:rPr>
        <w:t>法院完全采纳了代理律师的观点，驳回了本诉原告的诉讼请求，支持了反诉原告的所有诉讼请求，一</w:t>
      </w:r>
      <w:r>
        <w:rPr>
          <w:rFonts w:ascii="仿宋" w:hAnsi="仿宋" w:eastAsia="仿宋" w:cs="仿宋"/>
          <w:sz w:val="32"/>
          <w:szCs w:val="32"/>
        </w:rPr>
        <w:t>审判决后，</w:t>
      </w:r>
      <w:r>
        <w:rPr>
          <w:rFonts w:hint="eastAsia" w:ascii="仿宋" w:hAnsi="仿宋" w:eastAsia="仿宋" w:cs="仿宋"/>
          <w:sz w:val="32"/>
          <w:szCs w:val="32"/>
        </w:rPr>
        <w:t>双方均未上诉，该判决已生效。范某拿回了多支付的劳务款与资金占用费，达到了其</w:t>
      </w:r>
      <w:r>
        <w:rPr>
          <w:rFonts w:hint="eastAsia" w:ascii="仿宋" w:hAnsi="仿宋" w:eastAsia="仿宋" w:cs="仿宋"/>
          <w:sz w:val="32"/>
          <w:szCs w:val="32"/>
          <w:lang w:val="en-US" w:eastAsia="zh-CN"/>
        </w:rPr>
        <w:t>预期的</w:t>
      </w:r>
      <w:r>
        <w:rPr>
          <w:rFonts w:hint="eastAsia" w:ascii="仿宋" w:hAnsi="仿宋" w:eastAsia="仿宋" w:cs="仿宋"/>
          <w:sz w:val="32"/>
          <w:szCs w:val="32"/>
        </w:rPr>
        <w:t>诉讼效果。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color w:val="000000"/>
          <w:sz w:val="32"/>
          <w:szCs w:val="32"/>
        </w:rPr>
        <w:t>裁判文书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法院认为，本案争议焦点有两点，一、范某是少付还是多付了劳务款，其数额是多少，相应的利息或者资金占用费应该如何计算；二、广西建工集团某某建筑公司、广西建工集团某某建筑公司南宁分公司、广西某某投资集团有限公司应否承担蓝某诉请的责任。</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就第一个争议焦点，法院认为：范某与蓝某于2019年1月28日结算后，蓝某队组在2019 年2月至2019年5月16日期间仅有李小某、蓝景某、李某山、 李某等4人不完全同时、全勤在岗工作，在2019年5月16日后不再对案涉工程施工，同时，范某已于2020年1月23日支付了李小某、蓝景某、李某山、李某等4人在2019年2月至2019 年5月16日期间的工资。据此，范某与蓝某之间的劳务款应以双方于2019年1月28日形成的结算确定的</w:t>
      </w:r>
      <w:r>
        <w:rPr>
          <w:rFonts w:ascii="仿宋" w:hAnsi="仿宋" w:eastAsia="仿宋" w:cs="仿宋"/>
          <w:color w:val="000000"/>
          <w:sz w:val="32"/>
          <w:szCs w:val="32"/>
        </w:rPr>
        <w:t>金额</w:t>
      </w:r>
      <w:r>
        <w:rPr>
          <w:rFonts w:hint="eastAsia" w:ascii="仿宋" w:hAnsi="仿宋" w:eastAsia="仿宋" w:cs="仿宋"/>
          <w:color w:val="000000"/>
          <w:sz w:val="32"/>
          <w:szCs w:val="32"/>
        </w:rPr>
        <w:t>1756831. 48元来予以</w:t>
      </w:r>
      <w:r>
        <w:rPr>
          <w:rFonts w:ascii="仿宋" w:hAnsi="仿宋" w:eastAsia="仿宋" w:cs="仿宋"/>
          <w:color w:val="000000"/>
          <w:sz w:val="32"/>
          <w:szCs w:val="32"/>
        </w:rPr>
        <w:t>确定</w:t>
      </w:r>
      <w:r>
        <w:rPr>
          <w:rFonts w:hint="eastAsia" w:ascii="仿宋" w:hAnsi="仿宋" w:eastAsia="仿宋" w:cs="仿宋"/>
          <w:color w:val="000000"/>
          <w:sz w:val="32"/>
          <w:szCs w:val="32"/>
        </w:rPr>
        <w:t>。范某已向蓝某按</w:t>
      </w:r>
      <w:r>
        <w:rPr>
          <w:rFonts w:ascii="仿宋" w:hAnsi="仿宋" w:eastAsia="仿宋" w:cs="仿宋"/>
          <w:color w:val="000000"/>
          <w:sz w:val="32"/>
          <w:szCs w:val="32"/>
        </w:rPr>
        <w:t>双方结算确定的金额全额</w:t>
      </w:r>
      <w:r>
        <w:rPr>
          <w:rFonts w:hint="eastAsia" w:ascii="仿宋" w:hAnsi="仿宋" w:eastAsia="仿宋" w:cs="仿宋"/>
          <w:color w:val="000000"/>
          <w:sz w:val="32"/>
          <w:szCs w:val="32"/>
        </w:rPr>
        <w:t>支付劳务款1756831.48元，蓝某主张范某未足额支付案涉工程劳务款，并要求范某支付欠付劳务款及其利息，证据不足，不予支持。</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就第二个争议焦点，法院认为：范某主张系蓝某自身原因中途退出案涉工程施工，提供了证据证明，蓝某虽然提出异议，但未能提供证据反驳，故本院予以采信。 蓝某因其自身原因中途退出案涉工程施工，范某根据案涉《消防及给排水工程劳务分包施工合同书》约定，主张案涉工程劳务款应按照原定劳务价格1756831. 48元的70%为1229782.04元, 要求蓝某返还多收的30%为527049.44元，有合同依据，</w:t>
      </w:r>
      <w:r>
        <w:rPr>
          <w:rFonts w:hint="eastAsia" w:ascii="仿宋" w:hAnsi="仿宋" w:eastAsia="仿宋" w:cs="仿宋"/>
          <w:color w:val="000000"/>
          <w:sz w:val="32"/>
          <w:szCs w:val="32"/>
          <w:lang w:val="en-US" w:eastAsia="zh-CN"/>
        </w:rPr>
        <w:t>应</w:t>
      </w:r>
      <w:r>
        <w:rPr>
          <w:rFonts w:hint="eastAsia" w:ascii="仿宋" w:hAnsi="仿宋" w:eastAsia="仿宋" w:cs="仿宋"/>
          <w:color w:val="000000"/>
          <w:sz w:val="32"/>
          <w:szCs w:val="32"/>
        </w:rPr>
        <w:t>予以支持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广西某投资集团作为工程发包人，已经按照工程完成进度履行完毕付款义务，不存在欠付承包人</w:t>
      </w:r>
      <w:r>
        <w:rPr>
          <w:rFonts w:hint="eastAsia" w:ascii="仿宋" w:hAnsi="仿宋" w:eastAsia="仿宋" w:cs="仿宋"/>
          <w:sz w:val="32"/>
          <w:szCs w:val="32"/>
        </w:rPr>
        <w:t>广西某建筑公司</w:t>
      </w:r>
      <w:r>
        <w:rPr>
          <w:rFonts w:hint="eastAsia" w:ascii="仿宋" w:hAnsi="仿宋" w:eastAsia="仿宋" w:cs="仿宋"/>
          <w:color w:val="000000"/>
          <w:sz w:val="32"/>
          <w:szCs w:val="32"/>
        </w:rPr>
        <w:t>工程款的法律事实。</w:t>
      </w:r>
      <w:r>
        <w:rPr>
          <w:rFonts w:hint="eastAsia" w:ascii="仿宋" w:hAnsi="仿宋" w:eastAsia="仿宋" w:cs="仿宋"/>
          <w:sz w:val="32"/>
          <w:szCs w:val="32"/>
        </w:rPr>
        <w:t>广西某建筑公司作为该项目的承包人与某劳务公司签订合同，将该涉案大厦的消防及排水劳务分包给了南宁某劳务公司，南宁某劳务公司将蓝某队组的工资直接发放到农</w:t>
      </w:r>
      <w:r>
        <w:rPr>
          <w:rFonts w:ascii="仿宋" w:hAnsi="仿宋" w:eastAsia="仿宋" w:cs="仿宋"/>
          <w:sz w:val="32"/>
          <w:szCs w:val="32"/>
        </w:rPr>
        <w:t>民工</w:t>
      </w:r>
      <w:r>
        <w:rPr>
          <w:rFonts w:hint="eastAsia" w:ascii="仿宋" w:hAnsi="仿宋" w:eastAsia="仿宋" w:cs="仿宋"/>
          <w:sz w:val="32"/>
          <w:szCs w:val="32"/>
        </w:rPr>
        <w:t>的账户中，故本案诸多发包人、承包人均不存在欠</w:t>
      </w:r>
      <w:r>
        <w:rPr>
          <w:rFonts w:hint="eastAsia" w:ascii="仿宋" w:hAnsi="仿宋" w:eastAsia="仿宋" w:cs="仿宋"/>
          <w:color w:val="000000"/>
          <w:sz w:val="32"/>
          <w:szCs w:val="32"/>
        </w:rPr>
        <w:t>付建设工程价款的问题</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广西某建筑公司</w:t>
      </w:r>
      <w:r>
        <w:rPr>
          <w:rFonts w:hint="eastAsia" w:ascii="仿宋" w:hAnsi="仿宋" w:eastAsia="仿宋" w:cs="仿宋"/>
          <w:color w:val="000000"/>
          <w:sz w:val="32"/>
          <w:szCs w:val="32"/>
          <w:lang w:val="en-US" w:eastAsia="zh-CN"/>
        </w:rPr>
        <w:t>及其南宁分公司，</w:t>
      </w:r>
      <w:r>
        <w:rPr>
          <w:rFonts w:hint="eastAsia" w:ascii="仿宋" w:hAnsi="仿宋" w:eastAsia="仿宋" w:cs="仿宋"/>
          <w:color w:val="000000"/>
          <w:sz w:val="32"/>
          <w:szCs w:val="32"/>
        </w:rPr>
        <w:t>广西某投资集团有限公司</w:t>
      </w:r>
      <w:r>
        <w:rPr>
          <w:rFonts w:hint="eastAsia" w:ascii="仿宋" w:hAnsi="仿宋" w:eastAsia="仿宋" w:cs="仿宋"/>
          <w:color w:val="000000"/>
          <w:sz w:val="32"/>
          <w:szCs w:val="32"/>
          <w:lang w:val="en-US" w:eastAsia="zh-CN"/>
        </w:rPr>
        <w:t>无须向蓝某承担责任。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【案例评析】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在无效建设工程分包合同纠纷中，但建设工程经竣工验收合格投入使用后，实际施工人应该如何主张工程款？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本案件的审理时间在2020年，依旧适用</w:t>
      </w:r>
      <w:r>
        <w:rPr>
          <w:rFonts w:hint="eastAsia" w:ascii="仿宋" w:hAnsi="仿宋" w:eastAsia="仿宋" w:cs="仿宋"/>
          <w:color w:val="000000"/>
          <w:sz w:val="32"/>
          <w:szCs w:val="32"/>
          <w:lang w:eastAsia="zh-CN"/>
        </w:rPr>
        <w:t>《</w:t>
      </w:r>
      <w:r>
        <w:fldChar w:fldCharType="begin"/>
      </w:r>
      <w:r>
        <w:instrText xml:space="preserve"> HYPERLINK "https://law.wkinfo.com.cn/document/show?collection=legislation&amp;aid=MTAwMTE0Mjc0MTA%3D&amp;showType=0" </w:instrText>
      </w:r>
      <w:r>
        <w:fldChar w:fldCharType="separate"/>
      </w:r>
      <w:r>
        <w:rPr>
          <w:rFonts w:hint="eastAsia" w:ascii="仿宋" w:hAnsi="仿宋" w:eastAsia="仿宋" w:cs="仿宋"/>
          <w:color w:val="000000"/>
          <w:sz w:val="32"/>
          <w:szCs w:val="32"/>
        </w:rPr>
        <w:t>最高人民法院关于审理建设工程施工合同纠纷案件适用法律问题的解释（二）</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【法释〔2018〕20号】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下简称《解释》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第二十四条</w:t>
      </w:r>
      <w:bookmarkStart w:id="2" w:name="No70_T24K1"/>
      <w:bookmarkEnd w:id="2"/>
      <w:r>
        <w:rPr>
          <w:rFonts w:hint="eastAsia" w:ascii="仿宋" w:hAnsi="仿宋" w:eastAsia="仿宋" w:cs="仿宋"/>
          <w:color w:val="000000"/>
          <w:sz w:val="32"/>
          <w:szCs w:val="32"/>
        </w:rPr>
        <w:t>“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r>
        <w:rPr>
          <w:rFonts w:hint="eastAsia" w:ascii="仿宋" w:hAnsi="仿宋" w:eastAsia="仿宋" w:cs="仿宋"/>
          <w:color w:val="000000"/>
          <w:sz w:val="32"/>
          <w:szCs w:val="32"/>
          <w:lang w:val="en-US" w:eastAsia="zh-CN"/>
        </w:rPr>
        <w:t>因此</w:t>
      </w:r>
      <w:r>
        <w:rPr>
          <w:rFonts w:hint="eastAsia" w:ascii="仿宋" w:hAnsi="仿宋" w:eastAsia="仿宋" w:cs="仿宋"/>
          <w:color w:val="000000"/>
          <w:sz w:val="32"/>
          <w:szCs w:val="32"/>
        </w:rPr>
        <w:t>在原告蓝某的本诉中</w:t>
      </w:r>
      <w:r>
        <w:rPr>
          <w:rFonts w:hint="eastAsia" w:ascii="仿宋" w:hAnsi="仿宋" w:eastAsia="仿宋" w:cs="仿宋"/>
          <w:color w:val="000000"/>
          <w:sz w:val="32"/>
          <w:szCs w:val="32"/>
          <w:lang w:val="en-US" w:eastAsia="zh-CN"/>
        </w:rPr>
        <w:t>存在</w:t>
      </w:r>
      <w:r>
        <w:rPr>
          <w:rFonts w:hint="eastAsia" w:ascii="仿宋" w:hAnsi="仿宋" w:eastAsia="仿宋" w:cs="仿宋"/>
          <w:color w:val="000000"/>
          <w:sz w:val="32"/>
          <w:szCs w:val="32"/>
        </w:rPr>
        <w:t>四个被告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即</w:t>
      </w:r>
      <w:r>
        <w:rPr>
          <w:rFonts w:hint="eastAsia" w:ascii="仿宋" w:hAnsi="仿宋" w:eastAsia="仿宋" w:cs="仿宋"/>
          <w:color w:val="000000"/>
          <w:sz w:val="32"/>
          <w:szCs w:val="32"/>
        </w:rPr>
        <w:t>范某、</w:t>
      </w:r>
      <w:r>
        <w:rPr>
          <w:rFonts w:hint="eastAsia" w:ascii="仿宋" w:hAnsi="仿宋" w:eastAsia="仿宋" w:cs="仿宋"/>
          <w:sz w:val="32"/>
          <w:szCs w:val="32"/>
        </w:rPr>
        <w:t>广西某建筑公司</w:t>
      </w:r>
      <w:r>
        <w:rPr>
          <w:rFonts w:hint="eastAsia" w:ascii="仿宋" w:hAnsi="仿宋" w:eastAsia="仿宋" w:cs="仿宋"/>
          <w:sz w:val="32"/>
          <w:szCs w:val="32"/>
          <w:lang w:val="en-US" w:eastAsia="zh-CN"/>
        </w:rPr>
        <w:t>及其</w:t>
      </w:r>
      <w:r>
        <w:rPr>
          <w:rFonts w:hint="eastAsia" w:ascii="仿宋" w:hAnsi="仿宋" w:eastAsia="仿宋" w:cs="仿宋"/>
          <w:sz w:val="32"/>
          <w:szCs w:val="32"/>
        </w:rPr>
        <w:t>南宁分公司</w:t>
      </w:r>
      <w:r>
        <w:rPr>
          <w:rFonts w:hint="eastAsia" w:ascii="仿宋" w:hAnsi="仿宋" w:eastAsia="仿宋" w:cs="仿宋"/>
          <w:sz w:val="32"/>
          <w:szCs w:val="32"/>
          <w:lang w:val="en-US" w:eastAsia="zh-CN"/>
        </w:rPr>
        <w:t>和</w:t>
      </w:r>
      <w:r>
        <w:rPr>
          <w:rFonts w:hint="eastAsia" w:ascii="仿宋" w:hAnsi="仿宋" w:eastAsia="仿宋" w:cs="仿宋"/>
          <w:sz w:val="32"/>
          <w:szCs w:val="32"/>
        </w:rPr>
        <w:t>广西某投资集团有限公司，</w:t>
      </w:r>
      <w:r>
        <w:rPr>
          <w:rFonts w:hint="eastAsia" w:ascii="仿宋" w:hAnsi="仿宋" w:eastAsia="仿宋" w:cs="仿宋"/>
          <w:color w:val="000000"/>
          <w:sz w:val="32"/>
          <w:szCs w:val="32"/>
        </w:rPr>
        <w:t>发包人是否拖欠建设工程价款，也需要法院调查清楚事实后再作定论。</w:t>
      </w:r>
    </w:p>
    <w:p>
      <w:pPr>
        <w:pStyle w:val="9"/>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那么在合同无效的情况下，已验收合格工程如何结算？</w:t>
      </w:r>
    </w:p>
    <w:p>
      <w:pPr>
        <w:pStyle w:val="9"/>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上述《解释》第二条规定：“建设工程合同无效，但建设工程经竣工验收合格，承包人请求参照合同约定支付工程价款的，应予支持。”它确立了建设工程施工合同无效，但建设工程经竣工验收合格时的折价补偿原则，即“参照合同约定支付工程价款”，该条并未赋予承包人选择定额标准进行结算的权利，也非将请求参照合同约定结算工程价款的权利主体局限于承包人，根据该条规定，发包人或</w:t>
      </w:r>
      <w:r>
        <w:rPr>
          <w:rFonts w:ascii="仿宋" w:hAnsi="仿宋" w:eastAsia="仿宋" w:cs="仿宋"/>
          <w:color w:val="000000"/>
          <w:sz w:val="32"/>
          <w:szCs w:val="32"/>
          <w:lang w:val="en-US" w:eastAsia="zh-CN"/>
        </w:rPr>
        <w:t>实际施工人</w:t>
      </w:r>
      <w:r>
        <w:rPr>
          <w:rFonts w:hint="eastAsia" w:ascii="仿宋" w:hAnsi="仿宋" w:eastAsia="仿宋" w:cs="仿宋"/>
          <w:color w:val="000000"/>
          <w:sz w:val="32"/>
          <w:szCs w:val="32"/>
          <w:lang w:val="en-US" w:eastAsia="zh-CN"/>
        </w:rPr>
        <w:t>均可请求参照合同约定支付工程价款。根据诚实信用的原则，除非当事人另行协商一致同意按照定额标准据实结算，否则，一般应当参照合同约定支付工程价款。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另外，本案还引发以下思考：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一、把握合同相对性原则，不能随意扩大适用范围，承包人应该向涉案的建设工程分包合同相对方请求支付工程款，即使合同无效，亦可以参照原</w:t>
      </w:r>
      <w:bookmarkStart w:id="3" w:name="_GoBack"/>
      <w:bookmarkEnd w:id="3"/>
      <w:r>
        <w:rPr>
          <w:rFonts w:hint="eastAsia" w:ascii="黑体" w:hAnsi="黑体" w:eastAsia="黑体" w:cs="黑体"/>
          <w:color w:val="000000"/>
          <w:sz w:val="32"/>
          <w:szCs w:val="32"/>
        </w:rPr>
        <w:t>合同的约定来结算工程价款，包括合同中约定的结算方式、结算比例、工程价款额度等。该处理方式体现了合同无效后的折价补偿原则，同时体现了民商事法律的公平原则、诚实信用原则。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值得一提的是，《中华人民共和国民法典》（以下简称《民法典》）第四百六十五条第二款规定：“依法成立的合同，仅对当事人具有法律约束力，但是法律另有规定的除外”，明确规定了严格的合同相对性原则，而突破合同相对性原则的例外情形，应当仅限于“法律另有规定”。笔者认为，此处“法律”应</w:t>
      </w:r>
      <w:r>
        <w:rPr>
          <w:rFonts w:hint="eastAsia" w:ascii="仿宋" w:hAnsi="仿宋" w:eastAsia="仿宋" w:cs="仿宋"/>
          <w:color w:val="000000"/>
          <w:sz w:val="32"/>
          <w:szCs w:val="32"/>
        </w:rPr>
        <w:t>当</w:t>
      </w:r>
      <w:r>
        <w:rPr>
          <w:rFonts w:ascii="仿宋" w:hAnsi="仿宋" w:eastAsia="仿宋" w:cs="仿宋"/>
          <w:color w:val="000000"/>
          <w:sz w:val="32"/>
          <w:szCs w:val="32"/>
        </w:rPr>
        <w:t>包括</w:t>
      </w:r>
      <w:r>
        <w:rPr>
          <w:rFonts w:hint="eastAsia" w:ascii="仿宋" w:hAnsi="仿宋" w:eastAsia="仿宋" w:cs="仿宋"/>
          <w:color w:val="000000"/>
          <w:sz w:val="32"/>
          <w:szCs w:val="32"/>
        </w:rPr>
        <w:t>司</w:t>
      </w:r>
      <w:r>
        <w:rPr>
          <w:rFonts w:ascii="仿宋" w:hAnsi="仿宋" w:eastAsia="仿宋" w:cs="仿宋"/>
          <w:color w:val="000000"/>
          <w:sz w:val="32"/>
          <w:szCs w:val="32"/>
        </w:rPr>
        <w:t>法解释，故</w:t>
      </w:r>
      <w:r>
        <w:rPr>
          <w:rFonts w:hint="eastAsia" w:ascii="仿宋" w:hAnsi="仿宋" w:eastAsia="仿宋" w:cs="仿宋"/>
          <w:color w:val="000000"/>
          <w:sz w:val="32"/>
          <w:szCs w:val="32"/>
        </w:rPr>
        <w:t>2021年1月1日</w:t>
      </w:r>
      <w:r>
        <w:rPr>
          <w:rFonts w:ascii="仿宋" w:hAnsi="仿宋" w:eastAsia="仿宋" w:cs="仿宋"/>
          <w:color w:val="000000"/>
          <w:sz w:val="32"/>
          <w:szCs w:val="32"/>
        </w:rPr>
        <w:t>施行的《</w:t>
      </w:r>
      <w:r>
        <w:rPr>
          <w:rFonts w:hint="eastAsia" w:ascii="仿宋" w:hAnsi="仿宋" w:eastAsia="仿宋" w:cs="仿宋"/>
          <w:color w:val="000000"/>
          <w:sz w:val="32"/>
          <w:szCs w:val="32"/>
        </w:rPr>
        <w:t>最</w:t>
      </w:r>
      <w:r>
        <w:rPr>
          <w:rFonts w:ascii="仿宋" w:hAnsi="仿宋" w:eastAsia="仿宋" w:cs="仿宋"/>
          <w:color w:val="000000"/>
          <w:sz w:val="32"/>
          <w:szCs w:val="32"/>
        </w:rPr>
        <w:t>高人民法院关于审理建设工程施工合同纠纷案件适用法律问题的解</w:t>
      </w:r>
      <w:r>
        <w:rPr>
          <w:rFonts w:hint="eastAsia" w:ascii="仿宋" w:hAnsi="仿宋" w:eastAsia="仿宋" w:cs="仿宋"/>
          <w:color w:val="000000"/>
          <w:sz w:val="32"/>
          <w:szCs w:val="32"/>
        </w:rPr>
        <w:t>释</w:t>
      </w:r>
      <w:r>
        <w:rPr>
          <w:rFonts w:ascii="仿宋" w:hAnsi="仿宋" w:eastAsia="仿宋" w:cs="仿宋"/>
          <w:color w:val="000000"/>
          <w:sz w:val="32"/>
          <w:szCs w:val="32"/>
        </w:rPr>
        <w:t>（</w:t>
      </w:r>
      <w:r>
        <w:rPr>
          <w:rFonts w:hint="eastAsia" w:ascii="仿宋" w:hAnsi="仿宋" w:eastAsia="仿宋" w:cs="仿宋"/>
          <w:color w:val="000000"/>
          <w:sz w:val="32"/>
          <w:szCs w:val="32"/>
        </w:rPr>
        <w:t>一</w:t>
      </w:r>
      <w:r>
        <w:rPr>
          <w:rFonts w:ascii="仿宋" w:hAnsi="仿宋" w:eastAsia="仿宋" w:cs="仿宋"/>
          <w:color w:val="000000"/>
          <w:sz w:val="32"/>
          <w:szCs w:val="32"/>
        </w:rPr>
        <w:t>）》</w:t>
      </w:r>
      <w:r>
        <w:rPr>
          <w:rFonts w:hint="eastAsia" w:ascii="仿宋" w:hAnsi="仿宋" w:eastAsia="仿宋" w:cs="仿宋"/>
          <w:color w:val="000000"/>
          <w:sz w:val="32"/>
          <w:szCs w:val="32"/>
        </w:rPr>
        <w:t>第</w:t>
      </w:r>
      <w:r>
        <w:rPr>
          <w:rFonts w:ascii="仿宋" w:hAnsi="仿宋" w:eastAsia="仿宋" w:cs="仿宋"/>
          <w:color w:val="000000"/>
          <w:sz w:val="32"/>
          <w:szCs w:val="32"/>
        </w:rPr>
        <w:t>四十三条第二款</w:t>
      </w:r>
      <w:r>
        <w:rPr>
          <w:rFonts w:hint="eastAsia" w:ascii="仿宋" w:hAnsi="仿宋" w:eastAsia="仿宋" w:cs="仿宋"/>
          <w:color w:val="000000"/>
          <w:sz w:val="32"/>
          <w:szCs w:val="32"/>
        </w:rPr>
        <w:t>规定</w:t>
      </w:r>
      <w:r>
        <w:rPr>
          <w:rFonts w:ascii="仿宋" w:hAnsi="仿宋" w:eastAsia="仿宋" w:cs="仿宋"/>
          <w:color w:val="000000"/>
          <w:sz w:val="32"/>
          <w:szCs w:val="32"/>
        </w:rPr>
        <w:t>“</w:t>
      </w:r>
      <w:r>
        <w:rPr>
          <w:rFonts w:hint="eastAsia" w:ascii="仿宋" w:hAnsi="仿宋" w:eastAsia="仿宋" w:cs="仿宋"/>
          <w:color w:val="000000"/>
          <w:sz w:val="32"/>
          <w:szCs w:val="32"/>
        </w:rPr>
        <w:t>实际</w:t>
      </w:r>
      <w:r>
        <w:rPr>
          <w:rFonts w:ascii="仿宋" w:hAnsi="仿宋" w:eastAsia="仿宋" w:cs="仿宋"/>
          <w:color w:val="000000"/>
          <w:sz w:val="32"/>
          <w:szCs w:val="32"/>
        </w:rPr>
        <w:t>施工人以发</w:t>
      </w:r>
      <w:r>
        <w:rPr>
          <w:rFonts w:hint="eastAsia" w:ascii="仿宋" w:hAnsi="仿宋" w:eastAsia="仿宋" w:cs="仿宋"/>
          <w:color w:val="000000"/>
          <w:sz w:val="32"/>
          <w:szCs w:val="32"/>
        </w:rPr>
        <w:t>包</w:t>
      </w:r>
      <w:r>
        <w:rPr>
          <w:rFonts w:ascii="仿宋" w:hAnsi="仿宋" w:eastAsia="仿宋" w:cs="仿宋"/>
          <w:color w:val="000000"/>
          <w:sz w:val="32"/>
          <w:szCs w:val="32"/>
        </w:rPr>
        <w:t>人为</w:t>
      </w:r>
      <w:r>
        <w:rPr>
          <w:rFonts w:hint="eastAsia" w:ascii="仿宋" w:hAnsi="仿宋" w:eastAsia="仿宋" w:cs="仿宋"/>
          <w:color w:val="000000"/>
          <w:sz w:val="32"/>
          <w:szCs w:val="32"/>
        </w:rPr>
        <w:t>被</w:t>
      </w:r>
      <w:r>
        <w:rPr>
          <w:rFonts w:ascii="仿宋" w:hAnsi="仿宋" w:eastAsia="仿宋" w:cs="仿宋"/>
          <w:color w:val="000000"/>
          <w:sz w:val="32"/>
          <w:szCs w:val="32"/>
        </w:rPr>
        <w:t>告主张权利的，人民法院应当追加转</w:t>
      </w:r>
      <w:r>
        <w:rPr>
          <w:rFonts w:hint="eastAsia" w:ascii="仿宋" w:hAnsi="仿宋" w:eastAsia="仿宋" w:cs="仿宋"/>
          <w:color w:val="000000"/>
          <w:sz w:val="32"/>
          <w:szCs w:val="32"/>
        </w:rPr>
        <w:t>包</w:t>
      </w:r>
      <w:r>
        <w:rPr>
          <w:rFonts w:ascii="仿宋" w:hAnsi="仿宋" w:eastAsia="仿宋" w:cs="仿宋"/>
          <w:color w:val="000000"/>
          <w:sz w:val="32"/>
          <w:szCs w:val="32"/>
        </w:rPr>
        <w:t>人或者违法分包人为本案第三人，在查明发包人欠付转包人或都违法分包人建设工程价款</w:t>
      </w:r>
      <w:r>
        <w:rPr>
          <w:rFonts w:hint="eastAsia" w:ascii="仿宋" w:hAnsi="仿宋" w:eastAsia="仿宋" w:cs="仿宋"/>
          <w:color w:val="000000"/>
          <w:sz w:val="32"/>
          <w:szCs w:val="32"/>
        </w:rPr>
        <w:t>的</w:t>
      </w:r>
      <w:r>
        <w:rPr>
          <w:rFonts w:ascii="仿宋" w:hAnsi="仿宋" w:eastAsia="仿宋" w:cs="仿宋"/>
          <w:color w:val="000000"/>
          <w:sz w:val="32"/>
          <w:szCs w:val="32"/>
        </w:rPr>
        <w:t>数额后，判决发包人在欠付建设工程价款的范围内对实际施工人承</w:t>
      </w:r>
      <w:r>
        <w:rPr>
          <w:rFonts w:hint="eastAsia" w:ascii="仿宋" w:hAnsi="仿宋" w:eastAsia="仿宋" w:cs="仿宋"/>
          <w:color w:val="000000"/>
          <w:sz w:val="32"/>
          <w:szCs w:val="32"/>
        </w:rPr>
        <w:t>担责任</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ascii="仿宋" w:hAnsi="仿宋" w:eastAsia="仿宋" w:cs="仿宋"/>
          <w:color w:val="000000"/>
          <w:sz w:val="32"/>
          <w:szCs w:val="32"/>
        </w:rPr>
        <w:t>该条款实际上仍</w:t>
      </w:r>
      <w:r>
        <w:rPr>
          <w:rFonts w:hint="eastAsia" w:ascii="仿宋" w:hAnsi="仿宋" w:eastAsia="仿宋" w:cs="仿宋"/>
          <w:color w:val="000000"/>
          <w:sz w:val="32"/>
          <w:szCs w:val="32"/>
        </w:rPr>
        <w:t>然</w:t>
      </w:r>
      <w:r>
        <w:rPr>
          <w:rFonts w:ascii="仿宋" w:hAnsi="仿宋" w:eastAsia="仿宋" w:cs="仿宋"/>
          <w:color w:val="000000"/>
          <w:sz w:val="32"/>
          <w:szCs w:val="32"/>
        </w:rPr>
        <w:t>突破了合同的相对性原则。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二、建设工程施工合同无效，是否一定要按照合同约定结算工程款？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《最高人民法院关于审理建设工程施工合同纠纷案件适用法律问题的解释》</w:t>
      </w:r>
      <w:r>
        <w:rPr>
          <w:rFonts w:hint="eastAsia" w:ascii="仿宋" w:hAnsi="仿宋" w:eastAsia="仿宋" w:cs="仿宋"/>
          <w:color w:val="000000"/>
          <w:sz w:val="32"/>
          <w:szCs w:val="32"/>
          <w:lang w:eastAsia="zh-CN"/>
        </w:rPr>
        <w:t>【</w:t>
      </w:r>
      <w:r>
        <w:rPr>
          <w:rFonts w:hint="eastAsia" w:ascii="仿宋" w:hAnsi="仿宋" w:eastAsia="仿宋" w:cs="仿宋"/>
          <w:i w:val="0"/>
          <w:iCs w:val="0"/>
          <w:caps w:val="0"/>
          <w:color w:val="4A4A4A"/>
          <w:spacing w:val="0"/>
          <w:sz w:val="32"/>
          <w:szCs w:val="32"/>
          <w:shd w:val="clear" w:fill="auto"/>
        </w:rPr>
        <w:t>法释〔2004〕14号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第二条 “建设工程施工合同无效，但建设工程经竣工验收合格，承包人请求参照合同约定支付工程价款的，应予支持。”从</w:t>
      </w:r>
      <w:r>
        <w:rPr>
          <w:rFonts w:hint="eastAsia" w:ascii="仿宋" w:hAnsi="仿宋" w:eastAsia="仿宋" w:cs="仿宋"/>
          <w:color w:val="000000"/>
          <w:sz w:val="32"/>
          <w:szCs w:val="32"/>
          <w:lang w:val="en-US" w:eastAsia="zh-CN"/>
        </w:rPr>
        <w:t>文义表述来</w:t>
      </w:r>
      <w:r>
        <w:rPr>
          <w:rFonts w:hint="eastAsia" w:ascii="仿宋" w:hAnsi="仿宋" w:eastAsia="仿宋" w:cs="仿宋"/>
          <w:color w:val="000000"/>
          <w:sz w:val="32"/>
          <w:szCs w:val="32"/>
        </w:rPr>
        <w:t>看，并不能得出一定要按照合同约定结算工程款。</w:t>
      </w:r>
      <w:r>
        <w:rPr>
          <w:rFonts w:hint="eastAsia" w:ascii="仿宋" w:hAnsi="仿宋" w:eastAsia="仿宋" w:cs="仿宋"/>
          <w:color w:val="000000"/>
          <w:sz w:val="32"/>
          <w:szCs w:val="32"/>
          <w:lang w:val="en-US" w:eastAsia="zh-CN"/>
        </w:rPr>
        <w:t>但</w:t>
      </w:r>
      <w:r>
        <w:rPr>
          <w:rFonts w:hint="eastAsia" w:ascii="仿宋" w:hAnsi="仿宋" w:eastAsia="仿宋" w:cs="仿宋"/>
          <w:color w:val="000000"/>
          <w:sz w:val="32"/>
          <w:szCs w:val="32"/>
        </w:rPr>
        <w:t>在合同无效时，参照合同约定的结算方式、结算数额计算工程价款是法院的主流意见。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《民法典》出台之前，发包人能否根据</w:t>
      </w:r>
      <w:r>
        <w:rPr>
          <w:rFonts w:hint="eastAsia" w:ascii="仿宋" w:hAnsi="仿宋" w:eastAsia="仿宋" w:cs="仿宋"/>
          <w:color w:val="000000"/>
          <w:sz w:val="32"/>
          <w:szCs w:val="32"/>
          <w:lang w:val="en-US" w:eastAsia="zh-CN"/>
        </w:rPr>
        <w:t>上述</w:t>
      </w:r>
      <w:r>
        <w:fldChar w:fldCharType="begin"/>
      </w:r>
      <w:r>
        <w:instrText xml:space="preserve"> HYPERLINK "https://law.wkinfo.com.cn/document/show?title=&amp;bid=&amp;collection=legislation&amp;language=&amp;showType=&amp;aid=MTAxMDAwMDAxMjI%3D" \l "No13_T2" </w:instrText>
      </w:r>
      <w:r>
        <w:fldChar w:fldCharType="separate"/>
      </w:r>
      <w:r>
        <w:rPr>
          <w:rFonts w:hint="eastAsia" w:ascii="仿宋" w:hAnsi="仿宋" w:eastAsia="仿宋" w:cs="仿宋"/>
          <w:color w:val="000000"/>
          <w:sz w:val="32"/>
          <w:szCs w:val="32"/>
        </w:rPr>
        <w:t>第二条</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 xml:space="preserve">的规定请求参照无效施工合同支付工程价款，实践中一直存在较大的争议。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 一种观点认为，发包人与承包人一样，拥有请求参照无效施工合同支付工程价款的权利。持这一观点的主要理由为：该条的本意并不是赋予承包人选择参照合同约定或工程定额标准进行结算的权利；建设工程施工合同的相对方为发包人与承包人，既然承包人可以请求参照合同约定支付工程价款，根据权利对等原则，发包人理所当然也应享有此权利；从该条规定的目的和文义内容来看，并没有排斥、否定发包人的适用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sz w:val="32"/>
          <w:szCs w:val="32"/>
        </w:rPr>
        <w:t>【</w:t>
      </w:r>
      <w:r>
        <w:rPr>
          <w:rFonts w:hint="eastAsia" w:ascii="仿宋" w:hAnsi="仿宋" w:eastAsia="仿宋"/>
          <w:sz w:val="32"/>
          <w:szCs w:val="32"/>
        </w:rPr>
        <w:t>结语与建议</w:t>
      </w:r>
      <w:r>
        <w:rPr>
          <w:rFonts w:hint="eastAsia" w:ascii="黑体" w:hAnsi="黑体" w:eastAsia="黑体"/>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本案对于相关案件的审理和裁判具有一定指导意义。</w:t>
      </w:r>
      <w:r>
        <w:rPr>
          <w:rFonts w:hint="eastAsia" w:ascii="仿宋_GB2312" w:hAnsi="宋体" w:eastAsia="仿宋_GB2312" w:cs="仿宋_GB2312"/>
          <w:color w:val="000000"/>
          <w:sz w:val="31"/>
          <w:szCs w:val="31"/>
          <w:shd w:val="clear" w:color="auto" w:fill="FFFFFF"/>
        </w:rPr>
        <w:t>本案所体现的法律实践意义和政治导向性都对于日前建设工程合同纠纷类案件的正确</w:t>
      </w:r>
      <w:r>
        <w:rPr>
          <w:rFonts w:ascii="仿宋_GB2312" w:hAnsi="宋体" w:eastAsia="仿宋_GB2312" w:cs="仿宋_GB2312"/>
          <w:color w:val="000000"/>
          <w:sz w:val="31"/>
          <w:szCs w:val="31"/>
          <w:shd w:val="clear" w:color="auto" w:fill="FFFFFF"/>
        </w:rPr>
        <w:t>处理</w:t>
      </w:r>
      <w:r>
        <w:rPr>
          <w:rFonts w:hint="eastAsia" w:ascii="仿宋_GB2312" w:hAnsi="宋体" w:eastAsia="仿宋_GB2312" w:cs="仿宋_GB2312"/>
          <w:color w:val="000000"/>
          <w:sz w:val="31"/>
          <w:szCs w:val="31"/>
          <w:shd w:val="clear" w:color="auto" w:fill="FFFFFF"/>
        </w:rPr>
        <w:t>具有深远影响。</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p>
    <w:sectPr>
      <w:footerReference r:id="rId3" w:type="default"/>
      <w:pgSz w:w="11906" w:h="16838"/>
      <w:pgMar w:top="2154" w:right="1786" w:bottom="1814" w:left="1786"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657AC"/>
    <w:multiLevelType w:val="singleLevel"/>
    <w:tmpl w:val="611657AC"/>
    <w:lvl w:ilvl="0" w:tentative="0">
      <w:start w:val="2"/>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45"/>
    <w:rsid w:val="000700A9"/>
    <w:rsid w:val="003069AA"/>
    <w:rsid w:val="00383DA8"/>
    <w:rsid w:val="003F6BB9"/>
    <w:rsid w:val="004C2FF8"/>
    <w:rsid w:val="00746A59"/>
    <w:rsid w:val="00813B45"/>
    <w:rsid w:val="0086221F"/>
    <w:rsid w:val="008B1C15"/>
    <w:rsid w:val="00AD0A4B"/>
    <w:rsid w:val="00D04EDD"/>
    <w:rsid w:val="00E45369"/>
    <w:rsid w:val="00F300F4"/>
    <w:rsid w:val="019F798F"/>
    <w:rsid w:val="03C83CCB"/>
    <w:rsid w:val="042E74B5"/>
    <w:rsid w:val="04E31E44"/>
    <w:rsid w:val="05396B87"/>
    <w:rsid w:val="07441B8E"/>
    <w:rsid w:val="08CB32B2"/>
    <w:rsid w:val="0A3E5AEF"/>
    <w:rsid w:val="0C0862D0"/>
    <w:rsid w:val="0C2B354B"/>
    <w:rsid w:val="0C676EC2"/>
    <w:rsid w:val="0D13190C"/>
    <w:rsid w:val="0E710DF5"/>
    <w:rsid w:val="0F404DD3"/>
    <w:rsid w:val="0FFB5C6B"/>
    <w:rsid w:val="10472A62"/>
    <w:rsid w:val="11131697"/>
    <w:rsid w:val="11ED54FB"/>
    <w:rsid w:val="12337D2D"/>
    <w:rsid w:val="12822F01"/>
    <w:rsid w:val="14D96C5C"/>
    <w:rsid w:val="155A09C6"/>
    <w:rsid w:val="15BF25F7"/>
    <w:rsid w:val="17030A39"/>
    <w:rsid w:val="174C72A8"/>
    <w:rsid w:val="17646065"/>
    <w:rsid w:val="1788319F"/>
    <w:rsid w:val="187D6F76"/>
    <w:rsid w:val="189D24DC"/>
    <w:rsid w:val="18C80296"/>
    <w:rsid w:val="192D009A"/>
    <w:rsid w:val="19320974"/>
    <w:rsid w:val="1A0F5224"/>
    <w:rsid w:val="1B3E18CB"/>
    <w:rsid w:val="1BA50325"/>
    <w:rsid w:val="1CDB2F2B"/>
    <w:rsid w:val="1D5732EC"/>
    <w:rsid w:val="1D812EB9"/>
    <w:rsid w:val="1EB54F40"/>
    <w:rsid w:val="1EE54588"/>
    <w:rsid w:val="1F10636A"/>
    <w:rsid w:val="1F3E34D7"/>
    <w:rsid w:val="200C4F23"/>
    <w:rsid w:val="21766286"/>
    <w:rsid w:val="22436DE6"/>
    <w:rsid w:val="22AD6992"/>
    <w:rsid w:val="245D520C"/>
    <w:rsid w:val="251C3448"/>
    <w:rsid w:val="25DB1F1E"/>
    <w:rsid w:val="27095402"/>
    <w:rsid w:val="28B6070A"/>
    <w:rsid w:val="28F867C1"/>
    <w:rsid w:val="292063BD"/>
    <w:rsid w:val="29EB01CB"/>
    <w:rsid w:val="2A7B73E0"/>
    <w:rsid w:val="2B54705A"/>
    <w:rsid w:val="2BF97086"/>
    <w:rsid w:val="2CA822DB"/>
    <w:rsid w:val="2D8960C7"/>
    <w:rsid w:val="2E5C559D"/>
    <w:rsid w:val="306D05DC"/>
    <w:rsid w:val="321B3468"/>
    <w:rsid w:val="325E75A6"/>
    <w:rsid w:val="32DC6C5F"/>
    <w:rsid w:val="336018E3"/>
    <w:rsid w:val="336935F0"/>
    <w:rsid w:val="33A502F3"/>
    <w:rsid w:val="35F362DB"/>
    <w:rsid w:val="3677564E"/>
    <w:rsid w:val="36DE66C9"/>
    <w:rsid w:val="36F8417B"/>
    <w:rsid w:val="372F2CC0"/>
    <w:rsid w:val="37E43043"/>
    <w:rsid w:val="37FB786D"/>
    <w:rsid w:val="381350ED"/>
    <w:rsid w:val="38252897"/>
    <w:rsid w:val="3857567E"/>
    <w:rsid w:val="389116D7"/>
    <w:rsid w:val="39523201"/>
    <w:rsid w:val="39B035B3"/>
    <w:rsid w:val="39E42B49"/>
    <w:rsid w:val="3AC37BAA"/>
    <w:rsid w:val="3CC72A66"/>
    <w:rsid w:val="3D922D83"/>
    <w:rsid w:val="3E341CE3"/>
    <w:rsid w:val="3E6342F2"/>
    <w:rsid w:val="3E6E3A3B"/>
    <w:rsid w:val="3EAD07FF"/>
    <w:rsid w:val="3F784A74"/>
    <w:rsid w:val="40325E27"/>
    <w:rsid w:val="414F7E87"/>
    <w:rsid w:val="43471E12"/>
    <w:rsid w:val="439E6DDD"/>
    <w:rsid w:val="43B41F47"/>
    <w:rsid w:val="449B493B"/>
    <w:rsid w:val="45405813"/>
    <w:rsid w:val="47886DA8"/>
    <w:rsid w:val="47F9100B"/>
    <w:rsid w:val="48983B38"/>
    <w:rsid w:val="48D2362F"/>
    <w:rsid w:val="491B1FA0"/>
    <w:rsid w:val="49383A6D"/>
    <w:rsid w:val="495B5B12"/>
    <w:rsid w:val="49825DC0"/>
    <w:rsid w:val="4A8F143B"/>
    <w:rsid w:val="4B332737"/>
    <w:rsid w:val="4B975BDA"/>
    <w:rsid w:val="4E584EC0"/>
    <w:rsid w:val="4FBB7BCE"/>
    <w:rsid w:val="50052DC0"/>
    <w:rsid w:val="502114E2"/>
    <w:rsid w:val="52024D10"/>
    <w:rsid w:val="521027CE"/>
    <w:rsid w:val="52AA6EF7"/>
    <w:rsid w:val="53564AAF"/>
    <w:rsid w:val="542A6BE6"/>
    <w:rsid w:val="549342C0"/>
    <w:rsid w:val="54BE1994"/>
    <w:rsid w:val="556149C4"/>
    <w:rsid w:val="573F1DD3"/>
    <w:rsid w:val="578A062E"/>
    <w:rsid w:val="57FD7C22"/>
    <w:rsid w:val="58232836"/>
    <w:rsid w:val="594B3EF5"/>
    <w:rsid w:val="5A2B4996"/>
    <w:rsid w:val="5A826152"/>
    <w:rsid w:val="5BBB5197"/>
    <w:rsid w:val="5BC61D9E"/>
    <w:rsid w:val="5BE5577D"/>
    <w:rsid w:val="5CA90311"/>
    <w:rsid w:val="5CD3336B"/>
    <w:rsid w:val="5CF152E6"/>
    <w:rsid w:val="5EBB2376"/>
    <w:rsid w:val="5F08555F"/>
    <w:rsid w:val="5F19322B"/>
    <w:rsid w:val="5F4C1F6B"/>
    <w:rsid w:val="60222EEE"/>
    <w:rsid w:val="607B712A"/>
    <w:rsid w:val="61AA6EF5"/>
    <w:rsid w:val="61F40A11"/>
    <w:rsid w:val="620F2C80"/>
    <w:rsid w:val="62A856C9"/>
    <w:rsid w:val="62F34B9D"/>
    <w:rsid w:val="63F41F5F"/>
    <w:rsid w:val="64BA404C"/>
    <w:rsid w:val="66C369DA"/>
    <w:rsid w:val="678B68C3"/>
    <w:rsid w:val="67A760F4"/>
    <w:rsid w:val="67BD444D"/>
    <w:rsid w:val="68947680"/>
    <w:rsid w:val="6AEF567D"/>
    <w:rsid w:val="6B030C20"/>
    <w:rsid w:val="6B9E2EF1"/>
    <w:rsid w:val="6C8969AC"/>
    <w:rsid w:val="6DBC504C"/>
    <w:rsid w:val="6E556820"/>
    <w:rsid w:val="6EDF39E2"/>
    <w:rsid w:val="6EF0312F"/>
    <w:rsid w:val="6F1E6B9E"/>
    <w:rsid w:val="6FB30B78"/>
    <w:rsid w:val="701731A9"/>
    <w:rsid w:val="70CA0216"/>
    <w:rsid w:val="72045C03"/>
    <w:rsid w:val="721711DC"/>
    <w:rsid w:val="723C3E04"/>
    <w:rsid w:val="725A644F"/>
    <w:rsid w:val="727B0843"/>
    <w:rsid w:val="72930EBA"/>
    <w:rsid w:val="72C36D96"/>
    <w:rsid w:val="73162620"/>
    <w:rsid w:val="738B7BA4"/>
    <w:rsid w:val="751F349C"/>
    <w:rsid w:val="75AE63DC"/>
    <w:rsid w:val="75C44189"/>
    <w:rsid w:val="761218A8"/>
    <w:rsid w:val="767E0F0F"/>
    <w:rsid w:val="772A250F"/>
    <w:rsid w:val="77B1788A"/>
    <w:rsid w:val="78BB060F"/>
    <w:rsid w:val="78CA699E"/>
    <w:rsid w:val="79FB6E4D"/>
    <w:rsid w:val="7A1D70DE"/>
    <w:rsid w:val="7A3A3178"/>
    <w:rsid w:val="7B8E3A11"/>
    <w:rsid w:val="7BA00BC5"/>
    <w:rsid w:val="7CA04ACB"/>
    <w:rsid w:val="7E2256AF"/>
    <w:rsid w:val="7E242257"/>
    <w:rsid w:val="7E7233A2"/>
    <w:rsid w:val="7F082F88"/>
    <w:rsid w:val="7F08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paragraph" w:customStyle="1" w:styleId="8">
    <w:name w:val="列出段落1"/>
    <w:basedOn w:val="1"/>
    <w:qFormat/>
    <w:uiPriority w:val="34"/>
    <w:pPr>
      <w:ind w:firstLine="420" w:firstLineChars="200"/>
    </w:pPr>
  </w:style>
  <w:style w:type="paragraph" w:customStyle="1" w:styleId="9">
    <w:name w:val="Body text|1"/>
    <w:basedOn w:val="1"/>
    <w:qFormat/>
    <w:uiPriority w:val="0"/>
    <w:pPr>
      <w:spacing w:line="420" w:lineRule="auto"/>
      <w:ind w:firstLine="300"/>
    </w:pPr>
    <w:rPr>
      <w:rFonts w:ascii="宋体" w:hAnsi="宋体" w:cs="宋体"/>
      <w:sz w:val="28"/>
      <w:szCs w:val="28"/>
      <w:lang w:val="zh-TW" w:eastAsia="zh-TW" w:bidi="zh-TW"/>
    </w:rPr>
  </w:style>
  <w:style w:type="paragraph" w:customStyle="1" w:styleId="10">
    <w:name w:val="Body text|4"/>
    <w:basedOn w:val="1"/>
    <w:qFormat/>
    <w:uiPriority w:val="0"/>
    <w:pPr>
      <w:spacing w:after="150"/>
      <w:ind w:right="180" w:firstLine="180"/>
    </w:pPr>
    <w:rPr>
      <w:sz w:val="18"/>
      <w:szCs w:val="18"/>
      <w:lang w:val="zh-TW" w:eastAsia="zh-TW" w:bidi="zh-TW"/>
    </w:rPr>
  </w:style>
  <w:style w:type="character" w:customStyle="1" w:styleId="11">
    <w:name w:val="a_contentlink_link"/>
    <w:basedOn w:val="6"/>
    <w:qFormat/>
    <w:uiPriority w:val="0"/>
    <w:rPr>
      <w:rFonts w:ascii="微软雅黑" w:hAnsi="微软雅黑" w:eastAsia="微软雅黑" w:cs="微软雅黑"/>
      <w:color w:val="0000FF"/>
      <w:sz w:val="24"/>
      <w:szCs w:val="24"/>
    </w:rPr>
  </w:style>
  <w:style w:type="paragraph" w:customStyle="1" w:styleId="12">
    <w:name w:val="faguicon_p"/>
    <w:basedOn w:val="1"/>
    <w:qFormat/>
    <w:uiPriority w:val="0"/>
    <w:pPr>
      <w:ind w:firstLine="480"/>
    </w:pPr>
    <w:rPr>
      <w:rFonts w:ascii="微软雅黑" w:hAnsi="微软雅黑" w:eastAsia="微软雅黑" w:cs="微软雅黑"/>
    </w:rPr>
  </w:style>
  <w:style w:type="character" w:customStyle="1" w:styleId="13">
    <w:name w:val="sect2title"/>
    <w:basedOn w:val="6"/>
    <w:qFormat/>
    <w:uiPriority w:val="0"/>
    <w:rPr>
      <w:rFonts w:ascii="微软雅黑" w:hAnsi="微软雅黑" w:eastAsia="微软雅黑" w:cs="微软雅黑"/>
      <w:b/>
      <w:bCs/>
      <w:sz w:val="26"/>
      <w:szCs w:val="26"/>
    </w:rPr>
  </w:style>
  <w:style w:type="character" w:customStyle="1" w:styleId="14">
    <w:name w:val="any"/>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735</Words>
  <Characters>4195</Characters>
  <Lines>34</Lines>
  <Paragraphs>9</Paragraphs>
  <TotalTime>8</TotalTime>
  <ScaleCrop>false</ScaleCrop>
  <LinksUpToDate>false</LinksUpToDate>
  <CharactersWithSpaces>4921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2021-08-27T01:42:00Z</dcterms:created>
  <dc:creator>南宁市律师协会</dc:creator>
  <cp:lastModifiedBy>秋鸢落樱</cp:lastModifiedBy>
  <dcterms:modified xsi:type="dcterms:W3CDTF">2021-12-21T09:50:45Z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