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/>
        <w:ind w:left="0" w:leftChars="0" w:firstLine="0" w:firstLineChars="0"/>
        <w:jc w:val="center"/>
        <w:textAlignment w:val="baseline"/>
        <w:outlineLvl w:val="3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1" w:name="_GoBack"/>
      <w:r>
        <w:rPr>
          <w:rFonts w:ascii="宋体" w:hAnsi="宋体" w:cs="Nimbus Roman No9 L"/>
          <w:sz w:val="32"/>
          <w:szCs w:val="32"/>
        </w:rPr>
        <w:t>企业法人主要经济指标</w:t>
      </w:r>
    </w:p>
    <w:bookmarkEnd w:id="1"/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702"/>
        <w:gridCol w:w="1139"/>
        <w:gridCol w:w="737"/>
        <w:gridCol w:w="328"/>
        <w:gridCol w:w="1050"/>
        <w:gridCol w:w="31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表    号：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left="-63" w:leftChars="-30" w:right="-63" w:rightChars="-30"/>
              <w:jc w:val="distribut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制定机关：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63" w:leftChars="-30" w:right="-63" w:rightChars="-3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国家统计局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63" w:leftChars="-30" w:right="-63" w:rightChars="-3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0"/>
                <w:sz w:val="18"/>
                <w:szCs w:val="18"/>
              </w:rPr>
              <w:t>国务院经济普查办公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-63" w:leftChars="-3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文    号：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60" w:lineRule="exact"/>
              <w:ind w:left="-63" w:leftChars="-30" w:right="-63" w:rightChars="-30" w:firstLine="0" w:firstLineChars="0"/>
              <w:jc w:val="distribut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10"/>
                <w:sz w:val="18"/>
                <w:szCs w:val="18"/>
              </w:rPr>
              <w:t>国统字〔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10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10"/>
                <w:sz w:val="18"/>
                <w:szCs w:val="18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10"/>
                <w:sz w:val="18"/>
                <w:szCs w:val="18"/>
                <w:lang w:val="en" w:eastAsia="zh-CN"/>
              </w:rPr>
              <w:t>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-63" w:leftChars="-3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单位详细名称：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after="0" w:line="26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after="0" w:line="260" w:lineRule="exact"/>
              <w:ind w:left="0" w:leftChars="0" w:firstLine="360" w:firstLineChars="2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18"/>
                <w:szCs w:val="18"/>
                <w:fitText w:val="450" w:id="68749036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450" w:id="68749036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60" w:lineRule="exact"/>
              <w:ind w:left="-63" w:leftChars="-30" w:right="-63" w:rightChars="-30" w:firstLine="0" w:firstLineChars="0"/>
              <w:jc w:val="distribut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4940" w:type="dxa"/>
            <w:gridSpan w:val="3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bookmarkStart w:id="0" w:name="_Hlk136676328"/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94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10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丙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35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一、资产负债类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tblHeader/>
          <w:jc w:val="center"/>
        </w:trPr>
        <w:tc>
          <w:tcPr>
            <w:tcW w:w="494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年初存货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资产总计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其中：应收账款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年末存货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其中：产成品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固定资产净值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固定资产原值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本年折旧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10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35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二、损益、人工成本及增值税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tblHeader/>
          <w:jc w:val="center"/>
        </w:trPr>
        <w:tc>
          <w:tcPr>
            <w:tcW w:w="494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营业成本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税金及附加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其他收益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投资收益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营业利润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利润总额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应付职工薪酬（本年贷方累计发生额）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应交增值税（本年累计发生额）</w:t>
            </w:r>
          </w:p>
        </w:tc>
        <w:tc>
          <w:tcPr>
            <w:tcW w:w="10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18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35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三、能源及生石灰生产情况（仅工业单位填报）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494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是否生产能源产品（如原煤、天然气、火力发电等）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原煤生产量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是否生产生石灰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生石灰产量</w:t>
            </w:r>
          </w:p>
        </w:tc>
        <w:tc>
          <w:tcPr>
            <w:tcW w:w="10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吨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22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是/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是/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35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四、批发和零售业经营情况（仅批发和零售业单位填报）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tblHeader/>
          <w:jc w:val="center"/>
        </w:trPr>
        <w:tc>
          <w:tcPr>
            <w:tcW w:w="4940" w:type="dxa"/>
            <w:gridSpan w:val="3"/>
            <w:tcBorders>
              <w:top w:val="single" w:color="auto" w:sz="2" w:space="0"/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商品购进额（含增值税）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商品销售额（含增值税）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其中：通过公共网络实现的商品销售额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其中：通过公共网络实现的零售额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零售额（按商品分类填报）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粮油食品、饮料、烟酒类零售额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服装、鞋帽、针纺织品类零售额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家用电器、音像器材及通讯器材类零售额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家具、五金电料、建筑及装潢材料类零售额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其他未列明商品类零售额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期末商品库存额（含增值税）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服务营业额（含增值税）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批发和零售业年末零售营业面积</w:t>
            </w:r>
          </w:p>
        </w:tc>
        <w:tc>
          <w:tcPr>
            <w:tcW w:w="10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35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　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63" w:leftChars="-3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br w:type="page"/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续表</w:t>
      </w:r>
    </w:p>
    <w:tbl>
      <w:tblPr>
        <w:tblStyle w:val="4"/>
        <w:tblW w:w="9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1065"/>
        <w:gridCol w:w="1035"/>
        <w:gridCol w:w="23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  <w:jc w:val="center"/>
        </w:trPr>
        <w:tc>
          <w:tcPr>
            <w:tcW w:w="494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31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9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丙</w:t>
            </w:r>
          </w:p>
        </w:tc>
        <w:tc>
          <w:tcPr>
            <w:tcW w:w="23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354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五、住宿和餐饮业经营情况（仅住宿和餐饮业单位填报）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tblHeader/>
          <w:jc w:val="center"/>
        </w:trPr>
        <w:tc>
          <w:tcPr>
            <w:tcW w:w="49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营业额（含增值税）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其中：客房收入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其中：通过公共网络实现的客房收入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餐费收入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00" w:firstLineChars="5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其中：通过公共网络实现的餐费收入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住宿和餐饮业年末餐饮营业面积</w:t>
            </w: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41</w:t>
            </w:r>
          </w:p>
        </w:tc>
        <w:tc>
          <w:tcPr>
            <w:tcW w:w="23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9354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六、企业研究开发活动及相关情况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（仅制造业，信息传输、软件和信息技术服务业，科学研究和技术服务业单位填报）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tblHeader/>
          <w:jc w:val="center"/>
        </w:trPr>
        <w:tc>
          <w:tcPr>
            <w:tcW w:w="49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研究开发人员合计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研究开发费用合计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人员人工费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直接投入费用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委托外部研究开发费用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其他费用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当年形成用于研究开发的仪器和设备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来自政府部门的研究开发经费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研究开发费用加计扣除减免税</w:t>
            </w: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千元</w:t>
            </w: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50</w:t>
            </w:r>
          </w:p>
        </w:tc>
        <w:tc>
          <w:tcPr>
            <w:tcW w:w="23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9354" w:type="dxa"/>
            <w:gridSpan w:val="4"/>
            <w:tcBorders>
              <w:top w:val="single" w:color="auto" w:sz="2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补充资料（限无法独立填报财务数据的单位填报）：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firstLine="3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统一财务核算法人单位：统一社会信用代码□□□□□□□□□□□□□□□□□□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340" w:firstLineChars="13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单位详细名称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42" w:rightChars="20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bidi="a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单位负责人：              填表人：               联系电话：               报出日期：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2 0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20" w:lineRule="exact"/>
        <w:ind w:left="1726" w:leftChars="85" w:right="210" w:rightChars="100" w:hanging="1548" w:hangingChars="86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说明：1.统计范围：辖区内除一套表单位、金融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业单位，以及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铁路部门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负责普查的单位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以外的以下第二产业和第三产业单位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包括企业法人单位，执行企业会计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准则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制度的事业法人单位、民办非企业法人单位和基金会，农民专业合作社，农村集体经济组织和除宗教活动场所以外的机构类型为90的其他法人单位。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2262" w:leftChars="340" w:right="210" w:rightChars="100" w:hanging="1548" w:hangingChars="86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2.报送日期及方式：2024年4月30日24时前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完成入户采集或自主填报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省级普查机构2024年5月31日24时前完成数据审核、验收、上报。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20" w:lineRule="exact"/>
        <w:ind w:firstLine="720" w:firstLineChars="400"/>
        <w:textAlignment w:val="auto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3.数据填报要求：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“产成品(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)”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 w:eastAsia="zh-CN"/>
        </w:rPr>
        <w:t>指标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仅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限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工业企业填报。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20" w:lineRule="exact"/>
        <w:ind w:firstLine="720" w:firstLineChars="4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.审核关系：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资产负债类：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（1）资产总计(0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)≥应收账款(0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（2）资产总计(0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)≥年末存货(0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（3）资产总计(0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)≥固定资产净值(0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（4）年末存货(0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)≥产成品(0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能源及生石灰生产情况：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1387" w:leftChars="455" w:right="210" w:rightChars="100" w:hanging="432" w:hangingChars="24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（1）如果是否生产能源产品(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19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)选择“是”，则原煤生产量(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)≥0；如果是否生产能源产品(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19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)选择“否”，则原煤生产量(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1407" w:leftChars="460" w:right="210" w:rightChars="100" w:hanging="441" w:hangingChars="245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（2）如果是否生产生石灰(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)选择“是”，则生石灰生产量(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)＞0；如果是否生产生石灰(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)选择“否”，则生石灰生产量(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批发和零售业经营情况：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（1）商品销售额(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)≥通过公共网络实现的商品销售额(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（2）商品销售额(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)≥通过公共网络实现的零售额(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（4）通过公共网络实现的商品销售额(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)≥通过公共网络实现的零售额(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2395" w:leftChars="455" w:right="210" w:rightChars="100" w:hanging="1440" w:hangingChars="8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（5）零售额(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)＝粮油食品、饮料、烟酒类零售额(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28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)＋服装、鞋帽、针纺织品类零售额(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29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)＋家用电器、音像器材及通讯器材类零售额(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)＋家具、五金电料、建筑及装潢材料类零售额(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)＋其他未列明商品类零售额(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住宿和餐饮业经营情况：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（1）营业额(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)≥客房收入(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)＋餐费收入(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（2）客房收入(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)≥通过公共网络实现的客房收入(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38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（3）餐费收入(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39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)≥通过公共网络实现的餐费收入(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40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企业研究开发活动及相关情况：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2845" w:leftChars="455" w:hanging="1890" w:hangingChars="105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（1）研究开发费用合计(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43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＝人员人工费(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en"/>
        </w:rPr>
        <w:t>44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)＋直接投入费用(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en"/>
        </w:rPr>
        <w:t>45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)＋委托外部研究开发费用(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en"/>
        </w:rPr>
        <w:t>46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)＋其他费用(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en"/>
        </w:rPr>
        <w:t>47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（2）如果研究开发人员合计(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42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)＞0，则人员人工费(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44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)＞0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420" w:leftChars="200" w:firstLine="540" w:firstLineChars="3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（3）如果人员人工费(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44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)＞0，则研究开发人员合计(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42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)＞0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F4200"/>
    <w:rsid w:val="39D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99"/>
    <w:pPr>
      <w:adjustRightInd w:val="0"/>
      <w:spacing w:line="360" w:lineRule="atLeast"/>
      <w:ind w:firstLine="600"/>
      <w:textAlignment w:val="baseline"/>
    </w:pPr>
    <w:rPr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2024-03-21T02:08:00Z</dcterms:created>
  <dc:creator>tjj</dc:creator>
  <cp:lastModifiedBy>tjj</cp:lastModifiedBy>
  <dcterms:modified xsi:type="dcterms:W3CDTF">2024-03-21T02:09:56Z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