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24805">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14:paraId="0BA7A074">
      <w:pPr>
        <w:rPr>
          <w:rFonts w:hint="eastAsia"/>
          <w:highlight w:val="none"/>
        </w:rPr>
      </w:pPr>
    </w:p>
    <w:p w14:paraId="2F647901">
      <w:pPr>
        <w:jc w:val="center"/>
        <w:rPr>
          <w:color w:val="000000"/>
          <w:sz w:val="32"/>
          <w:szCs w:val="32"/>
          <w:highlight w:val="none"/>
        </w:rPr>
      </w:pPr>
      <w:r>
        <w:rPr>
          <w:rFonts w:hint="eastAsia"/>
          <w:color w:val="000000"/>
          <w:sz w:val="32"/>
          <w:szCs w:val="32"/>
          <w:highlight w:val="none"/>
        </w:rPr>
        <w:t>桂职</w:t>
      </w:r>
      <w:r>
        <w:rPr>
          <w:color w:val="000000"/>
          <w:sz w:val="32"/>
          <w:szCs w:val="32"/>
          <w:highlight w:val="none"/>
        </w:rPr>
        <w:t>办〔20</w:t>
      </w:r>
      <w:r>
        <w:rPr>
          <w:rFonts w:hint="eastAsia"/>
          <w:color w:val="000000"/>
          <w:sz w:val="32"/>
          <w:szCs w:val="32"/>
          <w:highlight w:val="none"/>
        </w:rPr>
        <w:t>21</w:t>
      </w:r>
      <w:r>
        <w:rPr>
          <w:color w:val="000000"/>
          <w:sz w:val="32"/>
          <w:szCs w:val="32"/>
          <w:highlight w:val="none"/>
        </w:rPr>
        <w:t>〕</w:t>
      </w:r>
      <w:r>
        <w:rPr>
          <w:rFonts w:hint="eastAsia"/>
          <w:kern w:val="0"/>
          <w:sz w:val="32"/>
          <w:szCs w:val="32"/>
          <w:highlight w:val="none"/>
        </w:rPr>
        <w:t>25</w:t>
      </w:r>
      <w:r>
        <w:rPr>
          <w:color w:val="000000"/>
          <w:sz w:val="32"/>
          <w:szCs w:val="32"/>
          <w:highlight w:val="none"/>
        </w:rPr>
        <w:t>号</w:t>
      </w:r>
    </w:p>
    <w:p w14:paraId="60BB3673">
      <w:pPr>
        <w:spacing w:line="700" w:lineRule="exact"/>
        <w:jc w:val="center"/>
        <w:rPr>
          <w:rFonts w:hint="eastAsia" w:ascii="宋体" w:hAnsi="宋体"/>
          <w:color w:val="000000"/>
          <w:sz w:val="36"/>
          <w:szCs w:val="36"/>
          <w:highlight w:val="none"/>
        </w:rPr>
      </w:pPr>
    </w:p>
    <w:p w14:paraId="17EBC1CA">
      <w:pPr>
        <w:snapToGrid w:val="0"/>
        <w:spacing w:line="214" w:lineRule="exact"/>
        <w:ind w:firstLine="800" w:firstLineChars="200"/>
        <w:rPr>
          <w:rFonts w:hint="eastAsia" w:ascii="方正小标宋_GBK" w:hAnsi="宋体" w:eastAsia="方正小标宋_GBK" w:cs="宋体"/>
          <w:bCs/>
          <w:color w:val="000000"/>
          <w:sz w:val="40"/>
          <w:highlight w:val="none"/>
        </w:rPr>
      </w:pPr>
    </w:p>
    <w:p w14:paraId="536FF0D1">
      <w:pPr>
        <w:snapToGrid w:val="0"/>
        <w:spacing w:line="594" w:lineRule="exact"/>
        <w:jc w:val="center"/>
        <w:rPr>
          <w:rFonts w:hint="eastAsia" w:ascii="方正小标宋简体" w:hAnsi="方正小标宋简体" w:eastAsia="方正小标宋简体" w:cs="方正小标宋简体"/>
          <w:b/>
          <w:bCs/>
          <w:color w:val="000000"/>
          <w:sz w:val="44"/>
          <w:szCs w:val="44"/>
          <w:highlight w:val="none"/>
        </w:rPr>
      </w:pPr>
      <w:r>
        <w:rPr>
          <w:rFonts w:hint="eastAsia" w:ascii="方正小标宋简体" w:hAnsi="方正小标宋简体" w:eastAsia="方正小标宋简体" w:cs="方正小标宋简体"/>
          <w:bCs/>
          <w:color w:val="000000"/>
          <w:sz w:val="44"/>
          <w:szCs w:val="44"/>
          <w:highlight w:val="none"/>
        </w:rPr>
        <w:t>广西壮族自治区职称改革工作领导小组办公室</w:t>
      </w:r>
    </w:p>
    <w:p w14:paraId="2671AA3D">
      <w:pPr>
        <w:snapToGrid w:val="0"/>
        <w:spacing w:line="594"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bCs/>
          <w:color w:val="000000"/>
          <w:sz w:val="44"/>
          <w:szCs w:val="44"/>
          <w:highlight w:val="none"/>
        </w:rPr>
        <w:t>关于印发广西壮族自治区</w:t>
      </w:r>
      <w:r>
        <w:rPr>
          <w:rFonts w:hint="eastAsia" w:ascii="方正小标宋简体" w:hAnsi="方正小标宋简体" w:eastAsia="方正小标宋简体" w:cs="方正小标宋简体"/>
          <w:sz w:val="44"/>
          <w:szCs w:val="44"/>
          <w:highlight w:val="none"/>
        </w:rPr>
        <w:t>律师系列</w:t>
      </w:r>
    </w:p>
    <w:p w14:paraId="1B89B249">
      <w:pPr>
        <w:snapToGrid w:val="0"/>
        <w:spacing w:line="594" w:lineRule="exact"/>
        <w:jc w:val="center"/>
        <w:rPr>
          <w:rFonts w:hint="eastAsia" w:ascii="方正小标宋简体" w:hAnsi="方正小标宋简体" w:eastAsia="方正小标宋简体" w:cs="方正小标宋简体"/>
          <w:bCs/>
          <w:color w:val="000000"/>
          <w:sz w:val="44"/>
          <w:szCs w:val="44"/>
          <w:highlight w:val="none"/>
        </w:rPr>
      </w:pPr>
      <w:r>
        <w:rPr>
          <w:rFonts w:hint="eastAsia" w:ascii="方正小标宋简体" w:hAnsi="方正小标宋简体" w:eastAsia="方正小标宋简体" w:cs="方正小标宋简体"/>
          <w:bCs/>
          <w:color w:val="000000"/>
          <w:sz w:val="44"/>
          <w:szCs w:val="44"/>
          <w:highlight w:val="none"/>
        </w:rPr>
        <w:t>高、中、初级职称评审条件的通知</w:t>
      </w:r>
    </w:p>
    <w:p w14:paraId="5AC051A4">
      <w:pPr>
        <w:spacing w:line="594" w:lineRule="exact"/>
        <w:rPr>
          <w:szCs w:val="32"/>
          <w:highlight w:val="none"/>
        </w:rPr>
      </w:pPr>
    </w:p>
    <w:p w14:paraId="6E7ACD52">
      <w:pPr>
        <w:snapToGrid w:val="0"/>
        <w:spacing w:line="594" w:lineRule="exact"/>
        <w:rPr>
          <w:color w:val="000000"/>
          <w:sz w:val="32"/>
          <w:szCs w:val="32"/>
          <w:highlight w:val="none"/>
        </w:rPr>
      </w:pPr>
      <w:r>
        <w:rPr>
          <w:color w:val="000000"/>
          <w:sz w:val="32"/>
          <w:szCs w:val="32"/>
          <w:highlight w:val="none"/>
        </w:rPr>
        <w:t>各市人力资源和社会保障局、职改办，自治区各系列</w:t>
      </w:r>
      <w:r>
        <w:rPr>
          <w:rFonts w:hint="eastAsia"/>
          <w:color w:val="000000"/>
          <w:sz w:val="32"/>
          <w:szCs w:val="32"/>
          <w:highlight w:val="none"/>
        </w:rPr>
        <w:t>（行业）</w:t>
      </w:r>
      <w:r>
        <w:rPr>
          <w:color w:val="000000"/>
          <w:sz w:val="32"/>
          <w:szCs w:val="32"/>
          <w:highlight w:val="none"/>
        </w:rPr>
        <w:t>、自治区</w:t>
      </w:r>
      <w:r>
        <w:rPr>
          <w:rFonts w:hint="eastAsia"/>
          <w:color w:val="000000"/>
          <w:sz w:val="32"/>
          <w:szCs w:val="32"/>
          <w:highlight w:val="none"/>
        </w:rPr>
        <w:t>级</w:t>
      </w:r>
      <w:r>
        <w:rPr>
          <w:color w:val="000000"/>
          <w:sz w:val="32"/>
          <w:szCs w:val="32"/>
          <w:highlight w:val="none"/>
        </w:rPr>
        <w:t>各部门职改办（人事、干部处）：</w:t>
      </w:r>
    </w:p>
    <w:p w14:paraId="56194D7E">
      <w:pPr>
        <w:snapToGrid w:val="0"/>
        <w:spacing w:line="594" w:lineRule="exact"/>
        <w:ind w:firstLine="640" w:firstLineChars="200"/>
        <w:rPr>
          <w:color w:val="000000"/>
          <w:kern w:val="0"/>
          <w:sz w:val="32"/>
          <w:szCs w:val="32"/>
          <w:highlight w:val="none"/>
        </w:rPr>
      </w:pPr>
      <w:r>
        <w:rPr>
          <w:color w:val="000000"/>
          <w:sz w:val="32"/>
          <w:szCs w:val="32"/>
          <w:highlight w:val="none"/>
        </w:rPr>
        <w:t>现将</w:t>
      </w:r>
      <w:r>
        <w:rPr>
          <w:color w:val="000000"/>
          <w:kern w:val="0"/>
          <w:sz w:val="32"/>
          <w:szCs w:val="32"/>
          <w:highlight w:val="none"/>
        </w:rPr>
        <w:t>自治区司法厅职称改革工作领导小组办公室制定的律师系列高、中、初级职称评审条件印发给你们，请认真贯彻执行。在执行中有何问题和建议，请及时报告我办。</w:t>
      </w:r>
    </w:p>
    <w:p w14:paraId="2FA5D619">
      <w:pPr>
        <w:snapToGrid w:val="0"/>
        <w:spacing w:line="800" w:lineRule="exact"/>
        <w:rPr>
          <w:rFonts w:hint="eastAsia"/>
          <w:kern w:val="0"/>
          <w:highlight w:val="none"/>
        </w:rPr>
      </w:pPr>
    </w:p>
    <w:tbl>
      <w:tblPr>
        <w:tblStyle w:val="12"/>
        <w:tblW w:w="0" w:type="auto"/>
        <w:jc w:val="right"/>
        <w:tblLayout w:type="autofit"/>
        <w:tblCellMar>
          <w:top w:w="0" w:type="dxa"/>
          <w:left w:w="0" w:type="dxa"/>
          <w:bottom w:w="0" w:type="dxa"/>
          <w:right w:w="0" w:type="dxa"/>
        </w:tblCellMar>
      </w:tblPr>
      <w:tblGrid>
        <w:gridCol w:w="6400"/>
      </w:tblGrid>
      <w:tr w14:paraId="25A673FC">
        <w:tblPrEx>
          <w:tblCellMar>
            <w:top w:w="0" w:type="dxa"/>
            <w:left w:w="0" w:type="dxa"/>
            <w:bottom w:w="0" w:type="dxa"/>
            <w:right w:w="0" w:type="dxa"/>
          </w:tblCellMar>
        </w:tblPrEx>
        <w:trPr>
          <w:jc w:val="right"/>
        </w:trPr>
        <w:tc>
          <w:tcPr>
            <w:tcW w:w="0" w:type="auto"/>
            <w:noWrap w:val="0"/>
            <w:vAlign w:val="top"/>
          </w:tcPr>
          <w:p w14:paraId="6F159FF5">
            <w:pPr>
              <w:snapToGrid w:val="0"/>
              <w:spacing w:line="594" w:lineRule="exact"/>
              <w:jc w:val="center"/>
              <w:rPr>
                <w:kern w:val="0"/>
                <w:sz w:val="32"/>
                <w:szCs w:val="32"/>
                <w:highlight w:val="none"/>
              </w:rPr>
            </w:pPr>
            <w:r>
              <w:rPr>
                <w:kern w:val="0"/>
                <w:sz w:val="32"/>
                <w:szCs w:val="32"/>
                <w:highlight w:val="none"/>
              </w:rPr>
              <w:t>广西壮族自治区职称改革工作领导小组办公室</w:t>
            </w:r>
          </w:p>
        </w:tc>
      </w:tr>
      <w:tr w14:paraId="60F1ACE0">
        <w:tblPrEx>
          <w:tblCellMar>
            <w:top w:w="0" w:type="dxa"/>
            <w:left w:w="0" w:type="dxa"/>
            <w:bottom w:w="0" w:type="dxa"/>
            <w:right w:w="0" w:type="dxa"/>
          </w:tblCellMar>
        </w:tblPrEx>
        <w:trPr>
          <w:jc w:val="right"/>
        </w:trPr>
        <w:tc>
          <w:tcPr>
            <w:tcW w:w="0" w:type="auto"/>
            <w:noWrap w:val="0"/>
            <w:vAlign w:val="top"/>
          </w:tcPr>
          <w:p w14:paraId="608DD26D">
            <w:pPr>
              <w:snapToGrid w:val="0"/>
              <w:spacing w:line="594" w:lineRule="exact"/>
              <w:jc w:val="center"/>
              <w:rPr>
                <w:kern w:val="0"/>
                <w:sz w:val="32"/>
                <w:szCs w:val="32"/>
                <w:highlight w:val="none"/>
              </w:rPr>
            </w:pPr>
            <w:r>
              <w:rPr>
                <w:kern w:val="0"/>
                <w:sz w:val="32"/>
                <w:szCs w:val="32"/>
                <w:highlight w:val="none"/>
              </w:rPr>
              <w:t>2021年6月10日</w:t>
            </w:r>
          </w:p>
        </w:tc>
      </w:tr>
    </w:tbl>
    <w:p w14:paraId="2CBF4ACD">
      <w:pPr>
        <w:snapToGrid w:val="0"/>
        <w:spacing w:line="594" w:lineRule="exact"/>
        <w:jc w:val="center"/>
        <w:textAlignment w:val="baseline"/>
        <w:rPr>
          <w:rFonts w:hint="eastAsia"/>
          <w:kern w:val="0"/>
          <w:sz w:val="44"/>
          <w:szCs w:val="44"/>
          <w:highlight w:val="none"/>
        </w:rPr>
      </w:pPr>
      <w:r>
        <w:rPr>
          <w:kern w:val="0"/>
          <w:sz w:val="44"/>
          <w:szCs w:val="44"/>
          <w:highlight w:val="none"/>
        </w:rPr>
        <w:br w:type="page"/>
      </w:r>
    </w:p>
    <w:p w14:paraId="043D3A22">
      <w:pPr>
        <w:snapToGrid w:val="0"/>
        <w:spacing w:line="594" w:lineRule="exact"/>
        <w:jc w:val="center"/>
        <w:textAlignment w:val="baseline"/>
        <w:rPr>
          <w:rFonts w:hint="eastAsia" w:ascii="方正小标宋简体" w:hAnsi="方正小标宋简体" w:eastAsia="方正小标宋简体" w:cs="方正小标宋简体"/>
          <w:kern w:val="0"/>
          <w:sz w:val="44"/>
          <w:szCs w:val="44"/>
          <w:highlight w:val="none"/>
        </w:rPr>
      </w:pPr>
      <w:r>
        <w:rPr>
          <w:rFonts w:hint="eastAsia" w:ascii="方正小标宋简体" w:hAnsi="方正小标宋简体" w:eastAsia="方正小标宋简体" w:cs="方正小标宋简体"/>
          <w:kern w:val="0"/>
          <w:sz w:val="44"/>
          <w:szCs w:val="44"/>
          <w:highlight w:val="none"/>
        </w:rPr>
        <w:t>广西壮族自治区律师系列一级律师</w:t>
      </w:r>
    </w:p>
    <w:p w14:paraId="2AD47F3D">
      <w:pPr>
        <w:snapToGrid w:val="0"/>
        <w:spacing w:line="594" w:lineRule="exact"/>
        <w:jc w:val="center"/>
        <w:textAlignment w:val="baseline"/>
        <w:rPr>
          <w:rFonts w:hint="eastAsia" w:ascii="方正小标宋简体" w:hAnsi="方正小标宋简体" w:eastAsia="方正小标宋简体" w:cs="方正小标宋简体"/>
          <w:kern w:val="0"/>
          <w:sz w:val="44"/>
          <w:szCs w:val="44"/>
          <w:highlight w:val="none"/>
        </w:rPr>
      </w:pPr>
      <w:r>
        <w:rPr>
          <w:rFonts w:hint="eastAsia" w:ascii="方正小标宋简体" w:hAnsi="方正小标宋简体" w:eastAsia="方正小标宋简体" w:cs="方正小标宋简体"/>
          <w:kern w:val="0"/>
          <w:sz w:val="44"/>
          <w:szCs w:val="44"/>
          <w:highlight w:val="none"/>
        </w:rPr>
        <w:t>职称评审条件</w:t>
      </w:r>
    </w:p>
    <w:p w14:paraId="50944D69">
      <w:pPr>
        <w:snapToGrid w:val="0"/>
        <w:spacing w:line="594" w:lineRule="exact"/>
        <w:ind w:firstLine="600" w:firstLineChars="200"/>
        <w:textAlignment w:val="baseline"/>
        <w:rPr>
          <w:bCs/>
          <w:kern w:val="0"/>
          <w:szCs w:val="32"/>
          <w:highlight w:val="none"/>
        </w:rPr>
      </w:pPr>
    </w:p>
    <w:p w14:paraId="34939E19">
      <w:pPr>
        <w:adjustRightInd w:val="0"/>
        <w:snapToGrid w:val="0"/>
        <w:spacing w:line="594" w:lineRule="exact"/>
        <w:ind w:firstLine="640" w:firstLineChars="200"/>
        <w:textAlignment w:val="baseline"/>
        <w:rPr>
          <w:color w:val="000000"/>
          <w:kern w:val="0"/>
          <w:szCs w:val="32"/>
          <w:highlight w:val="none"/>
        </w:rPr>
      </w:pPr>
      <w:r>
        <w:rPr>
          <w:rFonts w:ascii="黑体" w:hAnsi="黑体" w:eastAsia="黑体"/>
          <w:bCs/>
          <w:color w:val="000000"/>
          <w:kern w:val="0"/>
          <w:sz w:val="32"/>
          <w:szCs w:val="32"/>
          <w:highlight w:val="none"/>
        </w:rPr>
        <w:t>评定标准：</w:t>
      </w:r>
      <w:r>
        <w:rPr>
          <w:bCs/>
          <w:color w:val="000000"/>
          <w:kern w:val="0"/>
          <w:sz w:val="32"/>
          <w:szCs w:val="32"/>
          <w:highlight w:val="none"/>
        </w:rPr>
        <w:t>具有宽广的法学理论水平和律师专业知识</w:t>
      </w:r>
      <w:r>
        <w:rPr>
          <w:rFonts w:hint="eastAsia"/>
          <w:bCs/>
          <w:color w:val="000000"/>
          <w:kern w:val="0"/>
          <w:sz w:val="32"/>
          <w:szCs w:val="32"/>
          <w:highlight w:val="none"/>
          <w:lang w:eastAsia="zh-CN"/>
        </w:rPr>
        <w:t>，</w:t>
      </w:r>
      <w:r>
        <w:rPr>
          <w:bCs/>
          <w:color w:val="000000"/>
          <w:kern w:val="0"/>
          <w:sz w:val="32"/>
          <w:szCs w:val="32"/>
          <w:highlight w:val="none"/>
        </w:rPr>
        <w:t>了解和掌握国内外法学理论研究和律师专业发展动态, 有组织和指导进行法学课题研究和律师实务、培养专门人才的能力，公开发表高水平的法学著作和论文；有丰富的工作经验和办理各类诉讼、非诉讼案件的经验及处理本专业疑难复杂案件的能力</w:t>
      </w:r>
      <w:r>
        <w:rPr>
          <w:rFonts w:hint="eastAsia"/>
          <w:bCs/>
          <w:color w:val="000000"/>
          <w:kern w:val="0"/>
          <w:sz w:val="32"/>
          <w:szCs w:val="32"/>
          <w:highlight w:val="none"/>
          <w:lang w:eastAsia="zh-CN"/>
        </w:rPr>
        <w:t>；</w:t>
      </w:r>
      <w:r>
        <w:rPr>
          <w:bCs/>
          <w:color w:val="000000"/>
          <w:kern w:val="0"/>
          <w:sz w:val="32"/>
          <w:szCs w:val="32"/>
          <w:highlight w:val="none"/>
        </w:rPr>
        <w:t>具有良好的律师职业道德、工作责任感和事业心，工作业绩显著；是本自治区律师界同行公认的业务和理论研究带头人。</w:t>
      </w:r>
    </w:p>
    <w:p w14:paraId="35479D47">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第一条  适用范围</w:t>
      </w:r>
    </w:p>
    <w:p w14:paraId="4759B17D">
      <w:pPr>
        <w:tabs>
          <w:tab w:val="left" w:pos="837"/>
        </w:tabs>
        <w:adjustRightInd w:val="0"/>
        <w:spacing w:line="594" w:lineRule="exact"/>
        <w:ind w:firstLine="640" w:firstLineChars="200"/>
        <w:textAlignment w:val="baseline"/>
        <w:rPr>
          <w:color w:val="000000"/>
          <w:szCs w:val="32"/>
          <w:highlight w:val="none"/>
        </w:rPr>
      </w:pPr>
      <w:r>
        <w:rPr>
          <w:color w:val="000000"/>
          <w:kern w:val="0"/>
          <w:sz w:val="32"/>
          <w:szCs w:val="32"/>
          <w:highlight w:val="none"/>
        </w:rPr>
        <w:t>本条件适用于在广西依法取得《律师执业证》、从事律师业务工作的人员申报评审一级律师职称</w:t>
      </w:r>
      <w:r>
        <w:rPr>
          <w:color w:val="000000"/>
          <w:sz w:val="32"/>
          <w:szCs w:val="32"/>
          <w:highlight w:val="none"/>
        </w:rPr>
        <w:t>。</w:t>
      </w:r>
    </w:p>
    <w:p w14:paraId="53227136">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第二条　政治思想条件</w:t>
      </w:r>
    </w:p>
    <w:p w14:paraId="2AEC5D75">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热爱祖国，拥护中国共产党领导，拥护社会主义法治，贯彻执行党的路线方针政策；遵守国家法律和法规，有良好的职业道德和敬业精神，廉洁奉公，忠于职守，诚实守信；坚持以事实为依据，以法律为准绳，认真履行律师职责，切实</w:t>
      </w:r>
      <w:r>
        <w:rPr>
          <w:color w:val="000000"/>
          <w:sz w:val="32"/>
          <w:szCs w:val="32"/>
          <w:highlight w:val="none"/>
        </w:rPr>
        <w:t>维护当事人的合法权益、维护法律正确实施、维护社会公平和正义，积极为经济社会发展提供优质高效的法律服务和法律保障。</w:t>
      </w:r>
    </w:p>
    <w:p w14:paraId="48BD5211">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有下列情形之一的，不能申报：</w:t>
      </w:r>
    </w:p>
    <w:p w14:paraId="434036C3">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w:t>
      </w:r>
      <w:r>
        <w:rPr>
          <w:color w:val="000000"/>
          <w:kern w:val="0"/>
          <w:sz w:val="32"/>
          <w:szCs w:val="32"/>
          <w:highlight w:val="none"/>
        </w:rPr>
        <w:t xml:space="preserve">从申报当年往前推算，5年内有过年度考核不称职的，原则上不得申报。  </w:t>
      </w:r>
    </w:p>
    <w:p w14:paraId="352F3B1D">
      <w:pPr>
        <w:adjustRightInd w:val="0"/>
        <w:snapToGrid w:val="0"/>
        <w:spacing w:line="594" w:lineRule="exact"/>
        <w:ind w:firstLine="640" w:firstLineChars="200"/>
        <w:textAlignment w:val="baseline"/>
        <w:rPr>
          <w:color w:val="000000"/>
          <w:kern w:val="0"/>
          <w:szCs w:val="32"/>
          <w:highlight w:val="none"/>
        </w:rPr>
      </w:pPr>
      <w:r>
        <w:rPr>
          <w:color w:val="000000"/>
          <w:sz w:val="32"/>
          <w:szCs w:val="32"/>
          <w:highlight w:val="none"/>
        </w:rPr>
        <w:t>（二）</w:t>
      </w:r>
      <w:r>
        <w:rPr>
          <w:color w:val="000000"/>
          <w:kern w:val="0"/>
          <w:sz w:val="32"/>
          <w:szCs w:val="32"/>
          <w:highlight w:val="none"/>
        </w:rPr>
        <w:t>在申报过程中被发现有伪造学历、资历、业绩成果，或剽窃他人成果等弄虚作假行为者，自申报当年起，5年内不得申报；累计两次的，终身不得申报。通过上述手段骗取职称者，撤销其职称，自撤销之日起，5年内不得申报。</w:t>
      </w:r>
    </w:p>
    <w:p w14:paraId="1961E1C7">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三）因涉嫌违法违纪正在接受查处的，在查处期间或处分处罚影响期（公开谴责、警告自决定之日起6个月，罚款、没收违法所得自决定之日起1年，中止会员权利为执行期及执行期满后1年，停止执业处罚为执行期及执行期满后3年）内不得申报。</w:t>
      </w:r>
    </w:p>
    <w:p w14:paraId="582C3ECB">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第三条　学历、资历条件</w:t>
      </w:r>
    </w:p>
    <w:p w14:paraId="2EFA1DCD">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大学本科及以上学历，取得副高级职称后，从事律师执业5年以上。</w:t>
      </w:r>
    </w:p>
    <w:p w14:paraId="2B655856">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按照有关文件规定，2026年以前对下一级职称不做本系列要求。如自治区职称制度改革文件对学历资历条件有新规定，从其规定。</w:t>
      </w:r>
    </w:p>
    <w:p w14:paraId="3EE08FA2">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第四条　外语和计算机应用能力条件</w:t>
      </w:r>
    </w:p>
    <w:p w14:paraId="64506FF4">
      <w:pPr>
        <w:adjustRightInd w:val="0"/>
        <w:snapToGrid w:val="0"/>
        <w:spacing w:line="594" w:lineRule="exact"/>
        <w:ind w:firstLine="640" w:firstLineChars="200"/>
        <w:textAlignment w:val="baseline"/>
        <w:rPr>
          <w:color w:val="000000"/>
          <w:kern w:val="0"/>
          <w:szCs w:val="32"/>
          <w:highlight w:val="none"/>
          <w:u w:val="single" w:color="000000"/>
        </w:rPr>
      </w:pPr>
      <w:r>
        <w:rPr>
          <w:color w:val="000000"/>
          <w:kern w:val="0"/>
          <w:sz w:val="32"/>
          <w:szCs w:val="32"/>
          <w:highlight w:val="none"/>
        </w:rPr>
        <w:t>对外语和计算机应用能力不作统一要求，由各高级评委会相应职改办按照自治区职称制度改革有关文件要求，在年度部署文中予以明确。</w:t>
      </w:r>
    </w:p>
    <w:p w14:paraId="089B6AA6">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第五条　继续教育条件</w:t>
      </w:r>
    </w:p>
    <w:p w14:paraId="2C268530">
      <w:pPr>
        <w:tabs>
          <w:tab w:val="left" w:pos="837"/>
        </w:tabs>
        <w:adjustRightInd w:val="0"/>
        <w:spacing w:line="594" w:lineRule="exact"/>
        <w:ind w:firstLine="640" w:firstLineChars="200"/>
        <w:textAlignment w:val="baseline"/>
        <w:rPr>
          <w:color w:val="000000"/>
          <w:kern w:val="0"/>
          <w:szCs w:val="32"/>
          <w:highlight w:val="none"/>
        </w:rPr>
      </w:pPr>
      <w:r>
        <w:rPr>
          <w:color w:val="000000"/>
          <w:kern w:val="0"/>
          <w:sz w:val="32"/>
          <w:szCs w:val="32"/>
          <w:highlight w:val="none"/>
        </w:rPr>
        <w:t>完成本部门、行业及政府人力资源和社会保障部门规定的继续教育任务。</w:t>
      </w:r>
    </w:p>
    <w:p w14:paraId="0BF175FD">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第六条　专业技术工作经历（能力）条件</w:t>
      </w:r>
    </w:p>
    <w:p w14:paraId="077D1A1A">
      <w:pPr>
        <w:adjustRightInd w:val="0"/>
        <w:snapToGrid w:val="0"/>
        <w:spacing w:line="594" w:lineRule="exact"/>
        <w:ind w:firstLine="640" w:firstLineChars="200"/>
        <w:textAlignment w:val="baseline"/>
        <w:rPr>
          <w:bCs/>
          <w:color w:val="000000"/>
          <w:kern w:val="0"/>
          <w:szCs w:val="32"/>
          <w:highlight w:val="none"/>
        </w:rPr>
      </w:pPr>
      <w:r>
        <w:rPr>
          <w:bCs/>
          <w:color w:val="000000"/>
          <w:kern w:val="0"/>
          <w:sz w:val="32"/>
          <w:szCs w:val="32"/>
          <w:highlight w:val="none"/>
        </w:rPr>
        <w:t>取得副高级职称以来，能够独立承办或主持办理重大疑难复杂法律事务，平均每年办理各类法律事务20件以上，其中在当地属较重大的案件不少于15%；或者平均每年主持办理各类重大疑难复杂案件3件以上。</w:t>
      </w:r>
    </w:p>
    <w:p w14:paraId="6924F67E">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第七条　业绩成果条件</w:t>
      </w:r>
    </w:p>
    <w:p w14:paraId="2DEE06F2">
      <w:pPr>
        <w:adjustRightInd w:val="0"/>
        <w:snapToGrid w:val="0"/>
        <w:spacing w:line="594" w:lineRule="exact"/>
        <w:ind w:firstLine="640" w:firstLineChars="200"/>
        <w:textAlignment w:val="baseline"/>
        <w:rPr>
          <w:color w:val="000000"/>
          <w:szCs w:val="32"/>
          <w:highlight w:val="none"/>
        </w:rPr>
      </w:pPr>
      <w:r>
        <w:rPr>
          <w:bCs/>
          <w:color w:val="000000"/>
          <w:kern w:val="0"/>
          <w:sz w:val="32"/>
          <w:szCs w:val="32"/>
          <w:highlight w:val="none"/>
        </w:rPr>
        <w:t>取得副高级职称以来，</w:t>
      </w:r>
      <w:r>
        <w:rPr>
          <w:color w:val="000000"/>
          <w:sz w:val="32"/>
          <w:szCs w:val="32"/>
          <w:highlight w:val="none"/>
        </w:rPr>
        <w:t>具备下列条件之一：</w:t>
      </w:r>
    </w:p>
    <w:p w14:paraId="139678E4">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（一）为1项以上国家重点项目或2项以上自治区重点项目提供法律服务，提出2项以上法律意见建议被采纳的。</w:t>
      </w:r>
    </w:p>
    <w:p w14:paraId="4C23A43B">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（二）办理1件以上国内重大影响案件或5件以上区内重大影响案件，有2项以上辩护、代理意见被采纳。</w:t>
      </w:r>
    </w:p>
    <w:p w14:paraId="686E9594">
      <w:pPr>
        <w:adjustRightInd w:val="0"/>
        <w:snapToGrid w:val="0"/>
        <w:spacing w:line="594" w:lineRule="exact"/>
        <w:ind w:firstLine="640" w:firstLineChars="200"/>
        <w:textAlignment w:val="baseline"/>
        <w:rPr>
          <w:color w:val="000000"/>
          <w:szCs w:val="32"/>
          <w:highlight w:val="none"/>
        </w:rPr>
      </w:pPr>
      <w:bookmarkStart w:id="0" w:name="_Hlk72570863"/>
      <w:r>
        <w:rPr>
          <w:color w:val="000000"/>
          <w:sz w:val="32"/>
          <w:szCs w:val="32"/>
          <w:highlight w:val="none"/>
        </w:rPr>
        <w:t>（三）担任1家省级或2家以上市级政府（党委）法律顾问，提出2项以上法律意见建议被采纳。</w:t>
      </w:r>
    </w:p>
    <w:p w14:paraId="20634B3D">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（四）担任过5家以上上市公司、大型企事业单位法律顾问，提出5项以上法律意见建议被采纳</w:t>
      </w:r>
      <w:bookmarkEnd w:id="0"/>
      <w:r>
        <w:rPr>
          <w:color w:val="000000"/>
          <w:sz w:val="32"/>
          <w:szCs w:val="32"/>
          <w:highlight w:val="none"/>
        </w:rPr>
        <w:t>。</w:t>
      </w:r>
    </w:p>
    <w:p w14:paraId="6D91D8E9">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（五）在律师业务相关理论与实务领域取得具有重大价值的科研成果，获得国家级社会科学优秀成果三等奖以上或省级社会科学优秀成果二等奖以上的主要贡献者（前二名，下同）。</w:t>
      </w:r>
    </w:p>
    <w:p w14:paraId="6645D284">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（六）主持或作为主研人员参与承担国家级律师实务或法学理论研究课题（项目）1项或省（部）级律师实务或法学理论研究课题（项目）2项以上。</w:t>
      </w:r>
    </w:p>
    <w:p w14:paraId="50E4F0F7">
      <w:pPr>
        <w:adjustRightInd w:val="0"/>
        <w:snapToGrid w:val="0"/>
        <w:spacing w:line="560"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第八条　论文、著作条件</w:t>
      </w:r>
    </w:p>
    <w:p w14:paraId="70FCF1A4">
      <w:pPr>
        <w:tabs>
          <w:tab w:val="left" w:pos="837"/>
        </w:tabs>
        <w:adjustRightInd w:val="0"/>
        <w:spacing w:line="560" w:lineRule="exact"/>
        <w:ind w:firstLine="640" w:firstLineChars="200"/>
        <w:textAlignment w:val="baseline"/>
        <w:rPr>
          <w:color w:val="000000"/>
          <w:szCs w:val="32"/>
          <w:highlight w:val="none"/>
        </w:rPr>
      </w:pPr>
      <w:r>
        <w:rPr>
          <w:bCs/>
          <w:color w:val="000000"/>
          <w:kern w:val="0"/>
          <w:sz w:val="32"/>
          <w:szCs w:val="32"/>
          <w:highlight w:val="none"/>
        </w:rPr>
        <w:t>取得副高级职称以来，</w:t>
      </w:r>
      <w:r>
        <w:rPr>
          <w:color w:val="000000"/>
          <w:sz w:val="32"/>
          <w:szCs w:val="32"/>
          <w:highlight w:val="none"/>
        </w:rPr>
        <w:t>具备下列条件之一：</w:t>
      </w:r>
    </w:p>
    <w:p w14:paraId="72251E4B">
      <w:pPr>
        <w:tabs>
          <w:tab w:val="left" w:pos="837"/>
        </w:tabs>
        <w:adjustRightInd w:val="0"/>
        <w:spacing w:line="560" w:lineRule="exact"/>
        <w:ind w:firstLine="640" w:firstLineChars="200"/>
        <w:textAlignment w:val="baseline"/>
        <w:rPr>
          <w:color w:val="000000"/>
          <w:szCs w:val="32"/>
          <w:highlight w:val="none"/>
        </w:rPr>
      </w:pPr>
      <w:r>
        <w:rPr>
          <w:color w:val="000000"/>
          <w:sz w:val="32"/>
          <w:szCs w:val="32"/>
          <w:highlight w:val="none"/>
        </w:rPr>
        <w:t>（一）出版律师业务或其他法律方面的专著、译著1部</w:t>
      </w:r>
      <w:r>
        <w:rPr>
          <w:rFonts w:hint="eastAsia"/>
          <w:color w:val="000000"/>
          <w:sz w:val="32"/>
          <w:szCs w:val="32"/>
          <w:highlight w:val="none"/>
        </w:rPr>
        <w:t>（</w:t>
      </w:r>
      <w:r>
        <w:rPr>
          <w:color w:val="000000"/>
          <w:sz w:val="32"/>
          <w:szCs w:val="32"/>
          <w:highlight w:val="none"/>
        </w:rPr>
        <w:t>本人编著5万字以上</w:t>
      </w:r>
      <w:r>
        <w:rPr>
          <w:rFonts w:hint="eastAsia"/>
          <w:color w:val="000000"/>
          <w:sz w:val="32"/>
          <w:szCs w:val="32"/>
          <w:highlight w:val="none"/>
        </w:rPr>
        <w:t>）</w:t>
      </w:r>
      <w:r>
        <w:rPr>
          <w:color w:val="000000"/>
          <w:sz w:val="32"/>
          <w:szCs w:val="32"/>
          <w:highlight w:val="none"/>
        </w:rPr>
        <w:t>。</w:t>
      </w:r>
    </w:p>
    <w:p w14:paraId="76F2000D">
      <w:pPr>
        <w:tabs>
          <w:tab w:val="left" w:pos="837"/>
        </w:tabs>
        <w:adjustRightInd w:val="0"/>
        <w:spacing w:line="560" w:lineRule="exact"/>
        <w:ind w:firstLine="640" w:firstLineChars="200"/>
        <w:textAlignment w:val="baseline"/>
        <w:rPr>
          <w:color w:val="000000"/>
          <w:szCs w:val="32"/>
          <w:highlight w:val="none"/>
        </w:rPr>
      </w:pPr>
      <w:r>
        <w:rPr>
          <w:color w:val="000000"/>
          <w:sz w:val="32"/>
          <w:szCs w:val="32"/>
          <w:highlight w:val="none"/>
        </w:rPr>
        <w:t>（二）公开发表律师业务领域的学术论文，或律师业务论文、案例分析入选省级以上的学术研讨会论文集或在会议上宣读的，累计4篇以上。</w:t>
      </w:r>
    </w:p>
    <w:p w14:paraId="54F13D00">
      <w:pPr>
        <w:tabs>
          <w:tab w:val="left" w:pos="837"/>
        </w:tabs>
        <w:adjustRightInd w:val="0"/>
        <w:spacing w:line="560" w:lineRule="exact"/>
        <w:ind w:firstLine="640" w:firstLineChars="200"/>
        <w:textAlignment w:val="baseline"/>
        <w:rPr>
          <w:color w:val="000000"/>
          <w:szCs w:val="32"/>
          <w:highlight w:val="none"/>
        </w:rPr>
      </w:pPr>
      <w:r>
        <w:rPr>
          <w:color w:val="000000"/>
          <w:sz w:val="32"/>
          <w:szCs w:val="32"/>
          <w:highlight w:val="none"/>
        </w:rPr>
        <w:t>（三）个人撰写的决策咨询类信息被自治区级以上党委、政府采用的可以替代论文条件，按自治区有关规定执行。</w:t>
      </w:r>
    </w:p>
    <w:p w14:paraId="268AF7AA">
      <w:pPr>
        <w:tabs>
          <w:tab w:val="left" w:pos="837"/>
        </w:tabs>
        <w:adjustRightInd w:val="0"/>
        <w:spacing w:line="560"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sz w:val="32"/>
          <w:szCs w:val="32"/>
          <w:highlight w:val="none"/>
        </w:rPr>
        <w:t>第</w:t>
      </w:r>
      <w:r>
        <w:rPr>
          <w:rFonts w:ascii="黑体" w:hAnsi="黑体" w:eastAsia="黑体"/>
          <w:bCs/>
          <w:color w:val="000000"/>
          <w:kern w:val="0"/>
          <w:sz w:val="32"/>
          <w:szCs w:val="32"/>
          <w:highlight w:val="none"/>
        </w:rPr>
        <w:t>九条  破格条件</w:t>
      </w:r>
    </w:p>
    <w:p w14:paraId="312CAFEB">
      <w:pPr>
        <w:adjustRightInd w:val="0"/>
        <w:spacing w:line="560" w:lineRule="exact"/>
        <w:ind w:firstLine="640" w:firstLineChars="200"/>
        <w:rPr>
          <w:szCs w:val="32"/>
          <w:highlight w:val="none"/>
        </w:rPr>
      </w:pPr>
      <w:r>
        <w:rPr>
          <w:sz w:val="32"/>
          <w:szCs w:val="32"/>
          <w:highlight w:val="none"/>
        </w:rPr>
        <w:t>取得现职称以来，对具备规定的资历条件，但不具备规定的学历条件，或具备规定的学历条件，但未达到资历条件中规定的年限的，符合</w:t>
      </w:r>
      <w:r>
        <w:rPr>
          <w:rFonts w:hint="eastAsia"/>
          <w:sz w:val="32"/>
          <w:szCs w:val="32"/>
          <w:highlight w:val="none"/>
        </w:rPr>
        <w:t>以下</w:t>
      </w:r>
      <w:r>
        <w:rPr>
          <w:sz w:val="32"/>
          <w:szCs w:val="32"/>
          <w:highlight w:val="none"/>
        </w:rPr>
        <w:t>条件之一者可破格申报：</w:t>
      </w:r>
    </w:p>
    <w:p w14:paraId="5342DFE4">
      <w:pPr>
        <w:tabs>
          <w:tab w:val="left" w:pos="837"/>
        </w:tabs>
        <w:adjustRightInd w:val="0"/>
        <w:spacing w:line="560" w:lineRule="exact"/>
        <w:ind w:firstLine="640" w:firstLineChars="200"/>
        <w:textAlignment w:val="baseline"/>
        <w:rPr>
          <w:color w:val="000000"/>
          <w:szCs w:val="32"/>
          <w:highlight w:val="none"/>
        </w:rPr>
      </w:pPr>
      <w:r>
        <w:rPr>
          <w:color w:val="000000"/>
          <w:sz w:val="32"/>
          <w:szCs w:val="32"/>
          <w:highlight w:val="none"/>
        </w:rPr>
        <w:t>（一）获得</w:t>
      </w:r>
      <w:bookmarkStart w:id="1" w:name="_Hlk72571762"/>
      <w:r>
        <w:rPr>
          <w:color w:val="000000"/>
          <w:sz w:val="32"/>
          <w:szCs w:val="32"/>
          <w:highlight w:val="none"/>
        </w:rPr>
        <w:t>律师业务或其他法学专业工作</w:t>
      </w:r>
      <w:bookmarkEnd w:id="1"/>
      <w:r>
        <w:rPr>
          <w:color w:val="000000"/>
          <w:sz w:val="32"/>
          <w:szCs w:val="32"/>
          <w:highlight w:val="none"/>
        </w:rPr>
        <w:t>省部级以上表彰奖励的。</w:t>
      </w:r>
    </w:p>
    <w:p w14:paraId="047FA4C5">
      <w:pPr>
        <w:shd w:val="clear" w:color="auto" w:fill="FFFFFF"/>
        <w:adjustRightInd w:val="0"/>
        <w:spacing w:line="560" w:lineRule="exact"/>
        <w:ind w:firstLine="640" w:firstLineChars="200"/>
        <w:rPr>
          <w:color w:val="000000"/>
          <w:szCs w:val="32"/>
          <w:highlight w:val="none"/>
        </w:rPr>
      </w:pPr>
      <w:r>
        <w:rPr>
          <w:color w:val="000000"/>
          <w:sz w:val="32"/>
          <w:szCs w:val="32"/>
          <w:highlight w:val="none"/>
        </w:rPr>
        <w:t>（二）</w:t>
      </w:r>
      <w:r>
        <w:rPr>
          <w:bCs/>
          <w:color w:val="000000"/>
          <w:sz w:val="32"/>
          <w:szCs w:val="32"/>
          <w:highlight w:val="none"/>
        </w:rPr>
        <w:t>大专学历，取得副高级职称后从事律师执业10年以上的，满足评审条件其他要求的。</w:t>
      </w:r>
    </w:p>
    <w:p w14:paraId="476214FF">
      <w:pPr>
        <w:tabs>
          <w:tab w:val="left" w:pos="837"/>
        </w:tabs>
        <w:adjustRightInd w:val="0"/>
        <w:spacing w:line="560"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第十条　附则</w:t>
      </w:r>
    </w:p>
    <w:p w14:paraId="4D2D4367">
      <w:pPr>
        <w:adjustRightInd w:val="0"/>
        <w:spacing w:line="560" w:lineRule="exact"/>
        <w:ind w:firstLine="640" w:firstLineChars="200"/>
        <w:rPr>
          <w:color w:val="000000"/>
          <w:szCs w:val="32"/>
          <w:highlight w:val="none"/>
        </w:rPr>
      </w:pPr>
      <w:r>
        <w:rPr>
          <w:color w:val="000000"/>
          <w:sz w:val="32"/>
          <w:szCs w:val="32"/>
          <w:highlight w:val="none"/>
        </w:rPr>
        <w:t>（一）本条件自下发之日起执行，此前与本条件不一致的，以本条件为准。</w:t>
      </w:r>
    </w:p>
    <w:p w14:paraId="19E66E65">
      <w:pPr>
        <w:adjustRightInd w:val="0"/>
        <w:spacing w:line="560" w:lineRule="exact"/>
        <w:ind w:firstLine="640" w:firstLineChars="200"/>
        <w:rPr>
          <w:color w:val="000000"/>
          <w:szCs w:val="32"/>
          <w:highlight w:val="none"/>
        </w:rPr>
      </w:pPr>
      <w:r>
        <w:rPr>
          <w:color w:val="000000"/>
          <w:sz w:val="32"/>
          <w:szCs w:val="32"/>
          <w:highlight w:val="none"/>
        </w:rPr>
        <w:t>（二）本条件由自治区职改办、自治区司法厅职改办按职责分工负责解释。</w:t>
      </w:r>
    </w:p>
    <w:p w14:paraId="39FF08BA">
      <w:pPr>
        <w:adjustRightInd w:val="0"/>
        <w:spacing w:line="560" w:lineRule="exact"/>
        <w:ind w:firstLine="640" w:firstLineChars="200"/>
        <w:rPr>
          <w:color w:val="000000"/>
          <w:kern w:val="0"/>
          <w:sz w:val="32"/>
          <w:szCs w:val="32"/>
          <w:highlight w:val="none"/>
        </w:rPr>
      </w:pPr>
      <w:r>
        <w:rPr>
          <w:color w:val="000000"/>
          <w:sz w:val="32"/>
          <w:szCs w:val="32"/>
          <w:highlight w:val="none"/>
        </w:rPr>
        <w:t>（三）与本条件相关的词（语）解释见附录。</w:t>
      </w:r>
    </w:p>
    <w:p w14:paraId="4E10AC8E">
      <w:pPr>
        <w:snapToGrid w:val="0"/>
        <w:spacing w:line="594" w:lineRule="exact"/>
        <w:jc w:val="center"/>
        <w:textAlignment w:val="baseline"/>
        <w:rPr>
          <w:rFonts w:hint="eastAsia"/>
          <w:color w:val="000000"/>
          <w:kern w:val="0"/>
          <w:sz w:val="32"/>
          <w:szCs w:val="32"/>
          <w:highlight w:val="none"/>
        </w:rPr>
      </w:pPr>
      <w:r>
        <w:rPr>
          <w:color w:val="000000"/>
          <w:kern w:val="0"/>
          <w:sz w:val="32"/>
          <w:szCs w:val="32"/>
          <w:highlight w:val="none"/>
        </w:rPr>
        <w:br w:type="page"/>
      </w:r>
    </w:p>
    <w:p w14:paraId="38D83693">
      <w:pPr>
        <w:snapToGrid w:val="0"/>
        <w:spacing w:line="594" w:lineRule="exact"/>
        <w:jc w:val="center"/>
        <w:textAlignment w:val="baseline"/>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广西壮族自治区律师系列二级律师</w:t>
      </w:r>
    </w:p>
    <w:p w14:paraId="25E613A1">
      <w:pPr>
        <w:snapToGrid w:val="0"/>
        <w:spacing w:line="594" w:lineRule="exact"/>
        <w:jc w:val="center"/>
        <w:textAlignment w:val="baseline"/>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职称评审条件</w:t>
      </w:r>
    </w:p>
    <w:p w14:paraId="636AA7D1">
      <w:pPr>
        <w:snapToGrid w:val="0"/>
        <w:spacing w:line="594" w:lineRule="exact"/>
        <w:ind w:firstLine="600" w:firstLineChars="200"/>
        <w:textAlignment w:val="baseline"/>
        <w:rPr>
          <w:bCs/>
          <w:color w:val="000000"/>
          <w:kern w:val="0"/>
          <w:szCs w:val="32"/>
          <w:highlight w:val="none"/>
        </w:rPr>
      </w:pPr>
    </w:p>
    <w:p w14:paraId="791A6787">
      <w:pPr>
        <w:adjustRightInd w:val="0"/>
        <w:snapToGrid w:val="0"/>
        <w:spacing w:line="594" w:lineRule="exact"/>
        <w:ind w:firstLine="640" w:firstLineChars="200"/>
        <w:textAlignment w:val="baseline"/>
        <w:rPr>
          <w:color w:val="000000"/>
          <w:kern w:val="0"/>
          <w:szCs w:val="32"/>
          <w:highlight w:val="none"/>
        </w:rPr>
      </w:pPr>
      <w:r>
        <w:rPr>
          <w:rFonts w:ascii="黑体" w:hAnsi="黑体" w:eastAsia="黑体"/>
          <w:bCs/>
          <w:color w:val="000000"/>
          <w:kern w:val="0"/>
          <w:sz w:val="32"/>
          <w:szCs w:val="32"/>
          <w:highlight w:val="none"/>
        </w:rPr>
        <w:t>评定标准：</w:t>
      </w:r>
      <w:r>
        <w:rPr>
          <w:color w:val="000000"/>
          <w:kern w:val="0"/>
          <w:sz w:val="32"/>
          <w:szCs w:val="32"/>
          <w:highlight w:val="none"/>
        </w:rPr>
        <w:t>具有较为宽广的法学理论水平和律师专业知识，了解和掌握国内外法学理论研究和律师专业发展动态，有组织和指导进行法学课题研究和律师实务、培养专门人才的能力，公开发表较高水平的法学著作和论文；有较丰富的工作经验和办理各类诉讼、非诉讼案件的经验及处理本专业疑难复杂案件的能力；具有良好的律师职业道德、工作责任感和事业心，工作业绩显著；在本地区律师界有一定的知名度。</w:t>
      </w:r>
    </w:p>
    <w:p w14:paraId="07A7238A">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第一条  适用范围</w:t>
      </w:r>
    </w:p>
    <w:p w14:paraId="640433F5">
      <w:pPr>
        <w:adjustRightInd w:val="0"/>
        <w:snapToGrid w:val="0"/>
        <w:spacing w:line="594" w:lineRule="exact"/>
        <w:ind w:firstLine="640" w:firstLineChars="200"/>
        <w:textAlignment w:val="baseline"/>
        <w:rPr>
          <w:color w:val="000000"/>
          <w:szCs w:val="32"/>
          <w:highlight w:val="none"/>
        </w:rPr>
      </w:pPr>
      <w:r>
        <w:rPr>
          <w:color w:val="000000"/>
          <w:kern w:val="0"/>
          <w:sz w:val="32"/>
          <w:szCs w:val="32"/>
          <w:highlight w:val="none"/>
        </w:rPr>
        <w:t>本条件适用于在广西依法取得《律师执业证》、从事律师业务工作的人员申报评审二级律师职称</w:t>
      </w:r>
      <w:r>
        <w:rPr>
          <w:color w:val="000000"/>
          <w:sz w:val="32"/>
          <w:szCs w:val="32"/>
          <w:highlight w:val="none"/>
        </w:rPr>
        <w:t>。</w:t>
      </w:r>
    </w:p>
    <w:p w14:paraId="553487AB">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第二条　政治思想条件</w:t>
      </w:r>
    </w:p>
    <w:p w14:paraId="56800095">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热爱祖国，拥护中国共产党领导，拥护社会主义法治，贯彻执行党的路线方针政策；遵守国家法律和法规，有良好的职业道德和敬业精神，廉洁奉公，忠于职守，诚实守信；坚持以事实为依据，以法律为准绳，认真履行律师职责，切实</w:t>
      </w:r>
      <w:r>
        <w:rPr>
          <w:color w:val="000000"/>
          <w:sz w:val="32"/>
          <w:szCs w:val="32"/>
          <w:highlight w:val="none"/>
        </w:rPr>
        <w:t>维护当事人的合法权益、维护法律正确实施、维护社会公平和正义，积极为经济社会发展提供优质高效的法律服务和法律保障。</w:t>
      </w:r>
    </w:p>
    <w:p w14:paraId="4B3ECB1C">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有下列情形之一的，不能申报：</w:t>
      </w:r>
    </w:p>
    <w:p w14:paraId="75E863D8">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w:t>
      </w:r>
      <w:r>
        <w:rPr>
          <w:color w:val="000000"/>
          <w:kern w:val="0"/>
          <w:sz w:val="32"/>
          <w:szCs w:val="32"/>
          <w:highlight w:val="none"/>
        </w:rPr>
        <w:t xml:space="preserve">从申报当年往前推算，5年内有过年度考核不称职的，原则上不得申报。  </w:t>
      </w:r>
    </w:p>
    <w:p w14:paraId="2CE568E5">
      <w:pPr>
        <w:adjustRightInd w:val="0"/>
        <w:snapToGrid w:val="0"/>
        <w:spacing w:line="594" w:lineRule="exact"/>
        <w:ind w:firstLine="640" w:firstLineChars="200"/>
        <w:textAlignment w:val="baseline"/>
        <w:rPr>
          <w:color w:val="000000"/>
          <w:kern w:val="0"/>
          <w:szCs w:val="32"/>
          <w:highlight w:val="none"/>
        </w:rPr>
      </w:pPr>
      <w:r>
        <w:rPr>
          <w:color w:val="000000"/>
          <w:sz w:val="32"/>
          <w:szCs w:val="32"/>
          <w:highlight w:val="none"/>
        </w:rPr>
        <w:t>（二）</w:t>
      </w:r>
      <w:r>
        <w:rPr>
          <w:color w:val="000000"/>
          <w:kern w:val="0"/>
          <w:sz w:val="32"/>
          <w:szCs w:val="32"/>
          <w:highlight w:val="none"/>
        </w:rPr>
        <w:t>在申报过程中被发现有伪造学历、资历、业绩成果，或剽窃他人成果等弄虚作假行为者，自申报当年起，5年内不得申报；累计两次的，终身不得申报。通过上述手段骗取职称者，撤销其职称，自撤销之日起，5年内不得申报。</w:t>
      </w:r>
    </w:p>
    <w:p w14:paraId="573169D5">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三）因涉嫌违法违纪正在接受查处的，在查处期间或处分处罚影响期（公开谴责、警告自决定之日起6个月，罚款、没收违法所得自决定之日起1年，中止会员权利为执行期及执行期满后1年，停止执业处罚为执行期及执行期满后3年）内不得申报。</w:t>
      </w:r>
    </w:p>
    <w:p w14:paraId="1EEAEF62">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第三条　学历、资历条件</w:t>
      </w:r>
    </w:p>
    <w:p w14:paraId="77EB2181">
      <w:pPr>
        <w:adjustRightInd w:val="0"/>
        <w:snapToGrid w:val="0"/>
        <w:spacing w:line="594" w:lineRule="exact"/>
        <w:ind w:firstLine="624" w:firstLineChars="200"/>
        <w:textAlignment w:val="baseline"/>
        <w:rPr>
          <w:color w:val="000000"/>
          <w:szCs w:val="32"/>
          <w:highlight w:val="none"/>
        </w:rPr>
      </w:pPr>
      <w:r>
        <w:rPr>
          <w:color w:val="000000"/>
          <w:spacing w:val="-4"/>
          <w:sz w:val="32"/>
          <w:szCs w:val="32"/>
          <w:highlight w:val="none"/>
        </w:rPr>
        <w:t>（一）获得博士学位，取得中级职称后，从事律师执业2年以上；大学本科以上学历，取得中级职称后，从事律师执业5年</w:t>
      </w:r>
      <w:r>
        <w:rPr>
          <w:color w:val="000000"/>
          <w:sz w:val="32"/>
          <w:szCs w:val="32"/>
          <w:highlight w:val="none"/>
        </w:rPr>
        <w:t>以上。</w:t>
      </w:r>
    </w:p>
    <w:p w14:paraId="32DA20A5">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（二）</w:t>
      </w:r>
      <w:r>
        <w:rPr>
          <w:bCs/>
          <w:color w:val="000000"/>
          <w:kern w:val="0"/>
          <w:sz w:val="32"/>
          <w:szCs w:val="32"/>
          <w:highlight w:val="none"/>
        </w:rPr>
        <w:t>国家机关工作人员离任后从事律师执业的</w:t>
      </w:r>
      <w:r>
        <w:rPr>
          <w:color w:val="000000"/>
          <w:sz w:val="32"/>
          <w:szCs w:val="32"/>
          <w:highlight w:val="none"/>
        </w:rPr>
        <w:t>，按以下学历、资历要求申报：获得博士学位，从事律师执业2年以上；获得硕士学位，从事律师执业8年以上；大学本科学历，从事律师执业12年以上；大专学历，从事律师执业14年以上。</w:t>
      </w:r>
    </w:p>
    <w:p w14:paraId="43106BF3">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按照有关文件规定，2026年以前对下一级职称不做本系列要求。如自治区职称制度改革文件对学历资历条件有新规定，从其规定。</w:t>
      </w:r>
    </w:p>
    <w:p w14:paraId="0567F0DF">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第四条　外语和计算机应用能力条件</w:t>
      </w:r>
    </w:p>
    <w:p w14:paraId="539B6452">
      <w:pPr>
        <w:adjustRightInd w:val="0"/>
        <w:snapToGrid w:val="0"/>
        <w:spacing w:line="594" w:lineRule="exact"/>
        <w:ind w:firstLine="640" w:firstLineChars="200"/>
        <w:textAlignment w:val="baseline"/>
        <w:rPr>
          <w:color w:val="000000"/>
          <w:kern w:val="0"/>
          <w:szCs w:val="32"/>
          <w:highlight w:val="none"/>
          <w:u w:val="single" w:color="000000"/>
        </w:rPr>
      </w:pPr>
      <w:r>
        <w:rPr>
          <w:color w:val="000000"/>
          <w:kern w:val="0"/>
          <w:sz w:val="32"/>
          <w:szCs w:val="32"/>
          <w:highlight w:val="none"/>
        </w:rPr>
        <w:t>对外语和计算机应用能力不作统一要求，由各副高级评委会相应职改办按照自治区职称制度改革有关文件要求，在年度部署文中予以明确。</w:t>
      </w:r>
    </w:p>
    <w:p w14:paraId="25828DC4">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第五条　继续教育条件</w:t>
      </w:r>
    </w:p>
    <w:p w14:paraId="1C947533">
      <w:pPr>
        <w:tabs>
          <w:tab w:val="left" w:pos="837"/>
        </w:tabs>
        <w:adjustRightInd w:val="0"/>
        <w:spacing w:line="594" w:lineRule="exact"/>
        <w:ind w:firstLine="640" w:firstLineChars="200"/>
        <w:textAlignment w:val="baseline"/>
        <w:rPr>
          <w:color w:val="000000"/>
          <w:kern w:val="0"/>
          <w:szCs w:val="32"/>
          <w:highlight w:val="none"/>
        </w:rPr>
      </w:pPr>
      <w:r>
        <w:rPr>
          <w:color w:val="000000"/>
          <w:kern w:val="0"/>
          <w:sz w:val="32"/>
          <w:szCs w:val="32"/>
          <w:highlight w:val="none"/>
        </w:rPr>
        <w:t>完成本部门、行业及政府人力资源和社会保障部门规定的继续教育任务。</w:t>
      </w:r>
    </w:p>
    <w:p w14:paraId="0A75EFA8">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第六条　专业技术工作经历（能力）条件</w:t>
      </w:r>
    </w:p>
    <w:p w14:paraId="3C68C4F0">
      <w:pPr>
        <w:adjustRightInd w:val="0"/>
        <w:snapToGrid w:val="0"/>
        <w:spacing w:line="594" w:lineRule="exact"/>
        <w:ind w:firstLine="640" w:firstLineChars="200"/>
        <w:textAlignment w:val="baseline"/>
        <w:rPr>
          <w:bCs/>
          <w:color w:val="000000"/>
          <w:kern w:val="0"/>
          <w:szCs w:val="32"/>
          <w:highlight w:val="none"/>
        </w:rPr>
      </w:pPr>
      <w:r>
        <w:rPr>
          <w:bCs/>
          <w:color w:val="000000"/>
          <w:kern w:val="0"/>
          <w:sz w:val="32"/>
          <w:szCs w:val="32"/>
          <w:highlight w:val="none"/>
        </w:rPr>
        <w:t>取得中级职称（或国家机关工作人员离任后从事律师执业）以来，平均每年独立承办或主持办理过各类法律事务15件以上，其中在当地属较重大的案件不少于10%；或者平均每年主持办理各类重大疑难复杂案件2件以上。</w:t>
      </w:r>
    </w:p>
    <w:p w14:paraId="52931C1D">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color w:val="000000"/>
          <w:sz w:val="32"/>
          <w:szCs w:val="32"/>
          <w:highlight w:val="none"/>
        </w:rPr>
        <w:t>第七条  业绩成果条件</w:t>
      </w:r>
    </w:p>
    <w:p w14:paraId="1A21011C">
      <w:pPr>
        <w:adjustRightInd w:val="0"/>
        <w:snapToGrid w:val="0"/>
        <w:spacing w:line="594" w:lineRule="exact"/>
        <w:ind w:firstLine="640" w:firstLineChars="200"/>
        <w:textAlignment w:val="baseline"/>
        <w:rPr>
          <w:color w:val="000000"/>
          <w:szCs w:val="32"/>
          <w:highlight w:val="none"/>
        </w:rPr>
      </w:pPr>
      <w:r>
        <w:rPr>
          <w:bCs/>
          <w:color w:val="000000"/>
          <w:kern w:val="0"/>
          <w:sz w:val="32"/>
          <w:szCs w:val="32"/>
          <w:highlight w:val="none"/>
        </w:rPr>
        <w:t>取得中级职称（或国家机关工作人员离任后从事律师执业）</w:t>
      </w:r>
      <w:r>
        <w:rPr>
          <w:color w:val="000000"/>
          <w:sz w:val="32"/>
          <w:szCs w:val="32"/>
          <w:highlight w:val="none"/>
        </w:rPr>
        <w:t>以来，具备下列条件之一：</w:t>
      </w:r>
    </w:p>
    <w:p w14:paraId="2DA141F6">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（一）为1项以上自治区重点项目或2项以上市级重点项目提供法律服务，提出2项以上法律意见建议被采纳的。</w:t>
      </w:r>
    </w:p>
    <w:p w14:paraId="0EB3DB3E">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（二）办理1件以上国内重大影响案件或3件以上区内重大影响案件，有2项以上辩护、代理意见被采纳。</w:t>
      </w:r>
    </w:p>
    <w:p w14:paraId="4E80BB78">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 xml:space="preserve">（三）担任1家市级（含以上）政府（党委）法律顾问或2家以上县级政府（党委）法律顾问，提出2项以上法律意见建议被采纳。 </w:t>
      </w:r>
    </w:p>
    <w:p w14:paraId="3C1AD1FA">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（四）担任过3家以上上市公司、大中型企事业法律顾问，提出5项以上法律意见建议被采纳。</w:t>
      </w:r>
    </w:p>
    <w:p w14:paraId="55EB82F4">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（五）在律师业务相关理论与实务领域取得较大的科研成果，获得省级以上社会科学优秀成果三等奖以上的主要贡献者（前二名，下同）。</w:t>
      </w:r>
    </w:p>
    <w:p w14:paraId="7EFB8228">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（六）主持或作为主研人员参与承担省（部）级律师实务或法学理论研究课题（项目）1项或市（厅）级律师实务或法学理论研究课题（项目）2项以上。</w:t>
      </w:r>
    </w:p>
    <w:p w14:paraId="2939BBE7">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第八条　论文、著作条件</w:t>
      </w:r>
    </w:p>
    <w:p w14:paraId="03BC9DA9">
      <w:pPr>
        <w:tabs>
          <w:tab w:val="left" w:pos="837"/>
        </w:tabs>
        <w:adjustRightInd w:val="0"/>
        <w:spacing w:line="594" w:lineRule="exact"/>
        <w:ind w:firstLine="640" w:firstLineChars="200"/>
        <w:textAlignment w:val="baseline"/>
        <w:rPr>
          <w:color w:val="000000"/>
          <w:szCs w:val="32"/>
          <w:highlight w:val="none"/>
        </w:rPr>
      </w:pPr>
      <w:r>
        <w:rPr>
          <w:bCs/>
          <w:color w:val="000000"/>
          <w:kern w:val="0"/>
          <w:sz w:val="32"/>
          <w:szCs w:val="32"/>
          <w:highlight w:val="none"/>
        </w:rPr>
        <w:t>取得中级职称（或国家机关工作人员离任后从事律师执业）</w:t>
      </w:r>
      <w:r>
        <w:rPr>
          <w:color w:val="000000"/>
          <w:sz w:val="32"/>
          <w:szCs w:val="32"/>
          <w:highlight w:val="none"/>
        </w:rPr>
        <w:t>以来，具备下列条件之一：</w:t>
      </w:r>
    </w:p>
    <w:p w14:paraId="69047254">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（一）出版律师业务或其他法律方面的专著、译著1部（本人编著3万字以上）。</w:t>
      </w:r>
    </w:p>
    <w:p w14:paraId="2598EF0D">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（二）公开发表律师业务领域的学术论文，或律师业务论文、案例分析入选省级以上的学术研讨会论文集或在会议上宣读，累计3篇以上。</w:t>
      </w:r>
    </w:p>
    <w:p w14:paraId="0FFD3B87">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（三）个人撰写的决策咨询类信息被自治区级以上党委、政府采用的可以替代论文条件，按自治区有关规定执行。</w:t>
      </w:r>
    </w:p>
    <w:p w14:paraId="4B4CE371">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第九条  破格条件</w:t>
      </w:r>
    </w:p>
    <w:p w14:paraId="77474D37">
      <w:pPr>
        <w:adjustRightInd w:val="0"/>
        <w:spacing w:line="594" w:lineRule="exact"/>
        <w:ind w:firstLine="640" w:firstLineChars="200"/>
        <w:rPr>
          <w:szCs w:val="32"/>
          <w:highlight w:val="none"/>
        </w:rPr>
      </w:pPr>
      <w:r>
        <w:rPr>
          <w:sz w:val="32"/>
          <w:szCs w:val="32"/>
          <w:highlight w:val="none"/>
        </w:rPr>
        <w:t>取得现职称以来，对具备规定的资历条件，但不具备规定的学历条件，或具备规定的学历条件，但未达到资历条件中规定的年限的，符合</w:t>
      </w:r>
      <w:r>
        <w:rPr>
          <w:rFonts w:hint="eastAsia"/>
          <w:sz w:val="32"/>
          <w:szCs w:val="32"/>
          <w:highlight w:val="none"/>
        </w:rPr>
        <w:t>以下</w:t>
      </w:r>
      <w:r>
        <w:rPr>
          <w:sz w:val="32"/>
          <w:szCs w:val="32"/>
          <w:highlight w:val="none"/>
        </w:rPr>
        <w:t>条件之一者可破格申报：</w:t>
      </w:r>
    </w:p>
    <w:p w14:paraId="1D83550B">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（一）获得律师业务或其他法学专业工作市厅级以上表彰奖励的。</w:t>
      </w:r>
    </w:p>
    <w:p w14:paraId="577055B1">
      <w:pPr>
        <w:shd w:val="clear" w:color="auto" w:fill="FFFFFF"/>
        <w:adjustRightInd w:val="0"/>
        <w:spacing w:line="594" w:lineRule="exact"/>
        <w:ind w:firstLine="640" w:firstLineChars="200"/>
        <w:rPr>
          <w:color w:val="000000"/>
          <w:szCs w:val="32"/>
          <w:highlight w:val="none"/>
        </w:rPr>
      </w:pPr>
      <w:r>
        <w:rPr>
          <w:color w:val="000000"/>
          <w:sz w:val="32"/>
          <w:szCs w:val="32"/>
          <w:highlight w:val="none"/>
        </w:rPr>
        <w:t>（二）</w:t>
      </w:r>
      <w:r>
        <w:rPr>
          <w:bCs/>
          <w:color w:val="000000"/>
          <w:sz w:val="32"/>
          <w:szCs w:val="32"/>
          <w:highlight w:val="none"/>
        </w:rPr>
        <w:t>大专学历，从事律师执业20年以上的，满足评审条件其他要求的。</w:t>
      </w:r>
    </w:p>
    <w:p w14:paraId="7D58E987">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第十条　附则</w:t>
      </w:r>
    </w:p>
    <w:p w14:paraId="5CE0E5D3">
      <w:pPr>
        <w:adjustRightInd w:val="0"/>
        <w:spacing w:line="594" w:lineRule="exact"/>
        <w:ind w:firstLine="640" w:firstLineChars="200"/>
        <w:rPr>
          <w:color w:val="000000"/>
          <w:szCs w:val="32"/>
          <w:highlight w:val="none"/>
        </w:rPr>
      </w:pPr>
      <w:r>
        <w:rPr>
          <w:color w:val="000000"/>
          <w:sz w:val="32"/>
          <w:szCs w:val="32"/>
          <w:highlight w:val="none"/>
        </w:rPr>
        <w:t>（一）本条件自下发之日起执行，此前与本条件不一致的，以本条件为准。</w:t>
      </w:r>
    </w:p>
    <w:p w14:paraId="0B02DA43">
      <w:pPr>
        <w:adjustRightInd w:val="0"/>
        <w:spacing w:line="594" w:lineRule="exact"/>
        <w:ind w:firstLine="640" w:firstLineChars="200"/>
        <w:rPr>
          <w:color w:val="000000"/>
          <w:szCs w:val="32"/>
          <w:highlight w:val="none"/>
        </w:rPr>
      </w:pPr>
      <w:r>
        <w:rPr>
          <w:color w:val="000000"/>
          <w:sz w:val="32"/>
          <w:szCs w:val="32"/>
          <w:highlight w:val="none"/>
        </w:rPr>
        <w:t>（二）本条件由自治区职改办、自治区司法厅职改办按职责分工负责解释。</w:t>
      </w:r>
    </w:p>
    <w:p w14:paraId="58656148">
      <w:pPr>
        <w:adjustRightInd w:val="0"/>
        <w:spacing w:line="594" w:lineRule="exact"/>
        <w:ind w:firstLine="640" w:firstLineChars="200"/>
        <w:rPr>
          <w:color w:val="000000"/>
          <w:szCs w:val="32"/>
          <w:highlight w:val="none"/>
        </w:rPr>
      </w:pPr>
      <w:r>
        <w:rPr>
          <w:color w:val="000000"/>
          <w:sz w:val="32"/>
          <w:szCs w:val="32"/>
          <w:highlight w:val="none"/>
        </w:rPr>
        <w:t>（三）与本条件相关的词（语）解释见附录。</w:t>
      </w:r>
    </w:p>
    <w:p w14:paraId="01FE185F">
      <w:pPr>
        <w:snapToGrid w:val="0"/>
        <w:spacing w:line="594" w:lineRule="exact"/>
        <w:textAlignment w:val="baseline"/>
        <w:rPr>
          <w:color w:val="000000"/>
          <w:kern w:val="0"/>
          <w:sz w:val="32"/>
          <w:szCs w:val="32"/>
          <w:highlight w:val="none"/>
        </w:rPr>
      </w:pPr>
    </w:p>
    <w:p w14:paraId="40D6B682">
      <w:pPr>
        <w:snapToGrid w:val="0"/>
        <w:spacing w:line="594" w:lineRule="exact"/>
        <w:textAlignment w:val="baseline"/>
        <w:rPr>
          <w:color w:val="000000"/>
          <w:kern w:val="0"/>
          <w:sz w:val="32"/>
          <w:szCs w:val="32"/>
          <w:highlight w:val="none"/>
        </w:rPr>
      </w:pPr>
    </w:p>
    <w:p w14:paraId="19CCC58F">
      <w:pPr>
        <w:snapToGrid w:val="0"/>
        <w:spacing w:line="594" w:lineRule="exact"/>
        <w:textAlignment w:val="baseline"/>
        <w:rPr>
          <w:color w:val="000000"/>
          <w:kern w:val="0"/>
          <w:sz w:val="32"/>
          <w:szCs w:val="32"/>
          <w:highlight w:val="none"/>
        </w:rPr>
      </w:pPr>
    </w:p>
    <w:p w14:paraId="6068FA28">
      <w:pPr>
        <w:snapToGrid w:val="0"/>
        <w:spacing w:line="594" w:lineRule="exact"/>
        <w:textAlignment w:val="baseline"/>
        <w:rPr>
          <w:color w:val="000000"/>
          <w:kern w:val="0"/>
          <w:sz w:val="32"/>
          <w:szCs w:val="32"/>
          <w:highlight w:val="none"/>
        </w:rPr>
      </w:pPr>
    </w:p>
    <w:p w14:paraId="21E8745F">
      <w:pPr>
        <w:snapToGrid w:val="0"/>
        <w:spacing w:line="594" w:lineRule="exact"/>
        <w:textAlignment w:val="baseline"/>
        <w:rPr>
          <w:color w:val="000000"/>
          <w:kern w:val="0"/>
          <w:sz w:val="32"/>
          <w:szCs w:val="32"/>
          <w:highlight w:val="none"/>
        </w:rPr>
      </w:pPr>
    </w:p>
    <w:p w14:paraId="2CE57979">
      <w:pPr>
        <w:snapToGrid w:val="0"/>
        <w:spacing w:line="594" w:lineRule="exact"/>
        <w:textAlignment w:val="baseline"/>
        <w:rPr>
          <w:b/>
          <w:bCs/>
          <w:color w:val="000000"/>
          <w:kern w:val="0"/>
          <w:szCs w:val="32"/>
          <w:highlight w:val="none"/>
        </w:rPr>
      </w:pPr>
      <w:r>
        <w:rPr>
          <w:color w:val="000000"/>
          <w:kern w:val="0"/>
          <w:sz w:val="32"/>
          <w:szCs w:val="32"/>
          <w:highlight w:val="none"/>
        </w:rPr>
        <w:br w:type="page"/>
      </w:r>
    </w:p>
    <w:p w14:paraId="4966BF81">
      <w:pPr>
        <w:snapToGrid w:val="0"/>
        <w:spacing w:line="594" w:lineRule="exact"/>
        <w:jc w:val="center"/>
        <w:textAlignment w:val="baseline"/>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广西壮族自治区律师系列三级律师</w:t>
      </w:r>
    </w:p>
    <w:p w14:paraId="707D0245">
      <w:pPr>
        <w:snapToGrid w:val="0"/>
        <w:spacing w:line="594" w:lineRule="exact"/>
        <w:jc w:val="center"/>
        <w:textAlignment w:val="baseline"/>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职称评审条件</w:t>
      </w:r>
    </w:p>
    <w:p w14:paraId="021DCEAD">
      <w:pPr>
        <w:snapToGrid w:val="0"/>
        <w:spacing w:line="594" w:lineRule="exact"/>
        <w:ind w:firstLine="600" w:firstLineChars="200"/>
        <w:textAlignment w:val="baseline"/>
        <w:rPr>
          <w:bCs/>
          <w:color w:val="000000"/>
          <w:kern w:val="0"/>
          <w:szCs w:val="32"/>
          <w:highlight w:val="none"/>
        </w:rPr>
      </w:pPr>
    </w:p>
    <w:p w14:paraId="2BD11B43">
      <w:pPr>
        <w:adjustRightInd w:val="0"/>
        <w:snapToGrid w:val="0"/>
        <w:spacing w:line="594" w:lineRule="exact"/>
        <w:ind w:firstLine="640" w:firstLineChars="200"/>
        <w:textAlignment w:val="baseline"/>
        <w:rPr>
          <w:color w:val="000000"/>
          <w:kern w:val="0"/>
          <w:szCs w:val="32"/>
          <w:highlight w:val="none"/>
        </w:rPr>
      </w:pPr>
      <w:r>
        <w:rPr>
          <w:rFonts w:ascii="黑体" w:hAnsi="黑体" w:eastAsia="黑体"/>
          <w:bCs/>
          <w:color w:val="000000"/>
          <w:kern w:val="0"/>
          <w:sz w:val="32"/>
          <w:szCs w:val="32"/>
          <w:highlight w:val="none"/>
        </w:rPr>
        <w:t>评定标准：</w:t>
      </w:r>
      <w:r>
        <w:rPr>
          <w:color w:val="000000"/>
          <w:kern w:val="0"/>
          <w:sz w:val="32"/>
          <w:szCs w:val="32"/>
          <w:highlight w:val="none"/>
        </w:rPr>
        <w:t>具有一定的法学理论水平和律师专业知识，一般了解和掌握国内外法学理论研究和律师专业发展动态，公开发表有一定质量的法学著作和论文；有相应的工作经历和办理诉讼、非诉讼案件的能力；具有良好的律师职业道德、工作责任感和事业心，工作业绩较为突出；在当地律师界逐渐表现出业务上和学术上的优势。</w:t>
      </w:r>
    </w:p>
    <w:p w14:paraId="56C4CAEE">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第一条  适用范围</w:t>
      </w:r>
    </w:p>
    <w:p w14:paraId="01EEF995">
      <w:pPr>
        <w:adjustRightInd w:val="0"/>
        <w:snapToGrid w:val="0"/>
        <w:spacing w:line="594" w:lineRule="exact"/>
        <w:ind w:firstLine="640" w:firstLineChars="200"/>
        <w:textAlignment w:val="baseline"/>
        <w:rPr>
          <w:color w:val="000000"/>
          <w:szCs w:val="32"/>
          <w:highlight w:val="none"/>
        </w:rPr>
      </w:pPr>
      <w:r>
        <w:rPr>
          <w:color w:val="000000"/>
          <w:kern w:val="0"/>
          <w:sz w:val="32"/>
          <w:szCs w:val="32"/>
          <w:highlight w:val="none"/>
        </w:rPr>
        <w:t>本条件适用于在广西依法取得《律师执业证》、从事律师业务工作的人员申报评审三级律师职称</w:t>
      </w:r>
      <w:r>
        <w:rPr>
          <w:color w:val="000000"/>
          <w:sz w:val="32"/>
          <w:szCs w:val="32"/>
          <w:highlight w:val="none"/>
        </w:rPr>
        <w:t>。</w:t>
      </w:r>
    </w:p>
    <w:p w14:paraId="6AE10485">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第二条　政治思想条件</w:t>
      </w:r>
    </w:p>
    <w:p w14:paraId="0B21F627">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热爱祖国，拥护中国共产党领导，拥护社会主义法治，贯彻执行党的路线方针政策；遵守国家法律和法规，有良好的职业道德和敬业精神，廉洁奉公，忠于职守，诚实守信；坚持以事实为依据，以法律为准绳，认真履行律师职责，切实</w:t>
      </w:r>
      <w:r>
        <w:rPr>
          <w:color w:val="000000"/>
          <w:sz w:val="32"/>
          <w:szCs w:val="32"/>
          <w:highlight w:val="none"/>
        </w:rPr>
        <w:t>维护当事人的合法权益、维护法律正确实施、维护社会公平和正义，积极为经济社会发展提供优质高效的法律服务和法律保障。</w:t>
      </w:r>
    </w:p>
    <w:p w14:paraId="4F25AA1F">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有下列情形之一的，不能申报：</w:t>
      </w:r>
    </w:p>
    <w:p w14:paraId="4FA8411A">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w:t>
      </w:r>
      <w:r>
        <w:rPr>
          <w:color w:val="000000"/>
          <w:kern w:val="0"/>
          <w:sz w:val="32"/>
          <w:szCs w:val="32"/>
          <w:highlight w:val="none"/>
        </w:rPr>
        <w:t xml:space="preserve">从申报当年往前推算，5年内有过年度考核不称职的，原则上不得申报。  </w:t>
      </w:r>
    </w:p>
    <w:p w14:paraId="123C53A9">
      <w:pPr>
        <w:adjustRightInd w:val="0"/>
        <w:snapToGrid w:val="0"/>
        <w:spacing w:line="594" w:lineRule="exact"/>
        <w:ind w:firstLine="640" w:firstLineChars="200"/>
        <w:textAlignment w:val="baseline"/>
        <w:rPr>
          <w:color w:val="000000"/>
          <w:kern w:val="0"/>
          <w:szCs w:val="32"/>
          <w:highlight w:val="none"/>
        </w:rPr>
      </w:pPr>
      <w:r>
        <w:rPr>
          <w:color w:val="000000"/>
          <w:sz w:val="32"/>
          <w:szCs w:val="32"/>
          <w:highlight w:val="none"/>
        </w:rPr>
        <w:t>（二）</w:t>
      </w:r>
      <w:r>
        <w:rPr>
          <w:color w:val="000000"/>
          <w:kern w:val="0"/>
          <w:sz w:val="32"/>
          <w:szCs w:val="32"/>
          <w:highlight w:val="none"/>
        </w:rPr>
        <w:t>在申报过程中被发现有伪造学历、资历、业绩成果，或剽窃他人成果等弄虚作假行为者，自申报当年起，5年内不得申报；累计两次的，终身不得申报。通过上述手段骗取职称者，撤销其职称，自撤销之日起，5年内不得申报。</w:t>
      </w:r>
    </w:p>
    <w:p w14:paraId="04BD55C9">
      <w:pPr>
        <w:tabs>
          <w:tab w:val="left" w:pos="837"/>
        </w:tabs>
        <w:adjustRightInd w:val="0"/>
        <w:spacing w:line="594" w:lineRule="exact"/>
        <w:ind w:firstLine="640" w:firstLineChars="200"/>
        <w:textAlignment w:val="baseline"/>
        <w:rPr>
          <w:color w:val="000000"/>
          <w:spacing w:val="4"/>
          <w:szCs w:val="32"/>
          <w:highlight w:val="none"/>
        </w:rPr>
      </w:pPr>
      <w:r>
        <w:rPr>
          <w:color w:val="000000"/>
          <w:sz w:val="32"/>
          <w:szCs w:val="32"/>
          <w:highlight w:val="none"/>
        </w:rPr>
        <w:t>（三）因涉嫌违法违纪正在接受查处的，在查处期间或处分</w:t>
      </w:r>
      <w:r>
        <w:rPr>
          <w:color w:val="000000"/>
          <w:spacing w:val="4"/>
          <w:sz w:val="32"/>
          <w:szCs w:val="32"/>
          <w:highlight w:val="none"/>
        </w:rPr>
        <w:t>处罚影响期（公开谴责、警告自决定之日起6个月，罚款、没收违法所得自决定之日起1年，中止会员权利为执行期及执行期满后1年，停止执业处罚为执行期及执行期满后3年）内不得申报。</w:t>
      </w:r>
    </w:p>
    <w:p w14:paraId="07346BBE">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第三条　学历、资历条件</w:t>
      </w:r>
    </w:p>
    <w:p w14:paraId="5C2D15FD">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（一）获得博士学位且从事律师执业的；获得硕士学位，从事律师执业3年以上；大学本科或大专学历，取得初级职称后，从事律师执业4 年以上；或未取得职称，大学本科学历的从事律师执业 7年以上，大专学历的从事律师执业 9 年以上。</w:t>
      </w:r>
    </w:p>
    <w:p w14:paraId="4955BDC5">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（二）</w:t>
      </w:r>
      <w:r>
        <w:rPr>
          <w:bCs/>
          <w:color w:val="000000"/>
          <w:kern w:val="0"/>
          <w:sz w:val="32"/>
          <w:szCs w:val="32"/>
          <w:highlight w:val="none"/>
        </w:rPr>
        <w:t>国家机关工作人员离任后从事律师执业的</w:t>
      </w:r>
      <w:r>
        <w:rPr>
          <w:color w:val="000000"/>
          <w:sz w:val="32"/>
          <w:szCs w:val="32"/>
          <w:highlight w:val="none"/>
        </w:rPr>
        <w:t>，按以下学历、资历要求申报：获得硕士学位，从事律师执业3年以上；大学本科学历，从事律师执业6年以上；大专学历，从事律师执业8年以上。</w:t>
      </w:r>
    </w:p>
    <w:p w14:paraId="38BB6518">
      <w:pPr>
        <w:tabs>
          <w:tab w:val="left" w:pos="837"/>
        </w:tabs>
        <w:adjustRightInd w:val="0"/>
        <w:spacing w:line="594" w:lineRule="exact"/>
        <w:ind w:firstLine="640" w:firstLineChars="200"/>
        <w:textAlignment w:val="baseline"/>
        <w:rPr>
          <w:color w:val="000000"/>
          <w:szCs w:val="32"/>
          <w:highlight w:val="none"/>
        </w:rPr>
      </w:pPr>
      <w:r>
        <w:rPr>
          <w:color w:val="000000"/>
          <w:kern w:val="0"/>
          <w:sz w:val="32"/>
          <w:szCs w:val="32"/>
          <w:highlight w:val="none"/>
        </w:rPr>
        <w:t>按照有关文件规定，2026年以前对下一级职称不做本系列要求。如自治区职称制度改革文件对学历资历条件有新规定，从其规定。</w:t>
      </w:r>
    </w:p>
    <w:p w14:paraId="1D2F22C7">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第四条　外语和计算机应用能力条件</w:t>
      </w:r>
    </w:p>
    <w:p w14:paraId="76C8551A">
      <w:pPr>
        <w:adjustRightInd w:val="0"/>
        <w:snapToGrid w:val="0"/>
        <w:spacing w:line="594" w:lineRule="exact"/>
        <w:ind w:firstLine="640" w:firstLineChars="200"/>
        <w:textAlignment w:val="baseline"/>
        <w:rPr>
          <w:color w:val="000000"/>
          <w:kern w:val="0"/>
          <w:szCs w:val="32"/>
          <w:highlight w:val="none"/>
          <w:u w:val="single" w:color="000000"/>
        </w:rPr>
      </w:pPr>
      <w:r>
        <w:rPr>
          <w:color w:val="000000"/>
          <w:kern w:val="0"/>
          <w:sz w:val="32"/>
          <w:szCs w:val="32"/>
          <w:highlight w:val="none"/>
        </w:rPr>
        <w:t>对外语和计算机应用能力不作要求。</w:t>
      </w:r>
    </w:p>
    <w:p w14:paraId="18B6B6F5">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第五条　继续教育条件</w:t>
      </w:r>
    </w:p>
    <w:p w14:paraId="506A006E">
      <w:pPr>
        <w:tabs>
          <w:tab w:val="left" w:pos="837"/>
        </w:tabs>
        <w:adjustRightInd w:val="0"/>
        <w:spacing w:line="594" w:lineRule="exact"/>
        <w:ind w:firstLine="640" w:firstLineChars="200"/>
        <w:textAlignment w:val="baseline"/>
        <w:rPr>
          <w:color w:val="000000"/>
          <w:kern w:val="0"/>
          <w:szCs w:val="32"/>
          <w:highlight w:val="none"/>
        </w:rPr>
      </w:pPr>
      <w:r>
        <w:rPr>
          <w:color w:val="000000"/>
          <w:kern w:val="0"/>
          <w:sz w:val="32"/>
          <w:szCs w:val="32"/>
          <w:highlight w:val="none"/>
        </w:rPr>
        <w:t>完成本部门、行业及政府人力资源和社会保障部门规定的继续教育任务。</w:t>
      </w:r>
    </w:p>
    <w:p w14:paraId="74273F8D">
      <w:pPr>
        <w:adjustRightInd w:val="0"/>
        <w:snapToGrid w:val="0"/>
        <w:spacing w:line="594" w:lineRule="exact"/>
        <w:ind w:firstLine="640" w:firstLineChars="200"/>
        <w:textAlignment w:val="baseline"/>
        <w:rPr>
          <w:rFonts w:ascii="黑体" w:hAnsi="黑体" w:eastAsia="黑体"/>
          <w:b/>
          <w:bCs/>
          <w:color w:val="000000"/>
          <w:kern w:val="0"/>
          <w:szCs w:val="32"/>
          <w:highlight w:val="none"/>
        </w:rPr>
      </w:pPr>
      <w:r>
        <w:rPr>
          <w:rFonts w:ascii="黑体" w:hAnsi="黑体" w:eastAsia="黑体"/>
          <w:bCs/>
          <w:color w:val="000000"/>
          <w:kern w:val="0"/>
          <w:sz w:val="32"/>
          <w:szCs w:val="32"/>
          <w:highlight w:val="none"/>
        </w:rPr>
        <w:t>第六条　专业技术工作经历（能力）条件</w:t>
      </w:r>
    </w:p>
    <w:p w14:paraId="3BA15086">
      <w:pPr>
        <w:adjustRightInd w:val="0"/>
        <w:snapToGrid w:val="0"/>
        <w:spacing w:line="594" w:lineRule="exact"/>
        <w:ind w:firstLine="640" w:firstLineChars="200"/>
        <w:textAlignment w:val="baseline"/>
        <w:rPr>
          <w:bCs/>
          <w:color w:val="000000"/>
          <w:kern w:val="0"/>
          <w:szCs w:val="32"/>
          <w:highlight w:val="none"/>
        </w:rPr>
      </w:pPr>
      <w:r>
        <w:rPr>
          <w:bCs/>
          <w:color w:val="000000"/>
          <w:kern w:val="0"/>
          <w:sz w:val="32"/>
          <w:szCs w:val="32"/>
          <w:highlight w:val="none"/>
        </w:rPr>
        <w:t>取得初级职称（或国家机关工作人员离任后</w:t>
      </w:r>
      <w:r>
        <w:rPr>
          <w:rFonts w:hint="eastAsia"/>
          <w:bCs/>
          <w:color w:val="000000"/>
          <w:kern w:val="0"/>
          <w:sz w:val="32"/>
          <w:szCs w:val="32"/>
          <w:highlight w:val="none"/>
        </w:rPr>
        <w:t>或无职称申报人员</w:t>
      </w:r>
      <w:r>
        <w:rPr>
          <w:bCs/>
          <w:color w:val="000000"/>
          <w:kern w:val="0"/>
          <w:sz w:val="32"/>
          <w:szCs w:val="32"/>
          <w:highlight w:val="none"/>
        </w:rPr>
        <w:t>从事律师执业）以来，平均每年独立承办或参与办理过各类法律事务10件以上，其中在当地属较重大的案件不少于5%；担任过3家以上政府部门、企事业单位的法律顾问。</w:t>
      </w:r>
    </w:p>
    <w:p w14:paraId="753CB4DF">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第七条　业绩成果条件</w:t>
      </w:r>
    </w:p>
    <w:p w14:paraId="279B1368">
      <w:pPr>
        <w:tabs>
          <w:tab w:val="left" w:pos="837"/>
        </w:tabs>
        <w:adjustRightInd w:val="0"/>
        <w:spacing w:line="594" w:lineRule="exact"/>
        <w:ind w:firstLine="640" w:firstLineChars="200"/>
        <w:textAlignment w:val="baseline"/>
        <w:rPr>
          <w:color w:val="000000"/>
          <w:kern w:val="0"/>
          <w:szCs w:val="32"/>
          <w:highlight w:val="none"/>
        </w:rPr>
      </w:pPr>
      <w:r>
        <w:rPr>
          <w:color w:val="000000"/>
          <w:sz w:val="32"/>
          <w:szCs w:val="32"/>
          <w:highlight w:val="none"/>
        </w:rPr>
        <w:t>取得初级职称</w:t>
      </w:r>
      <w:r>
        <w:rPr>
          <w:bCs/>
          <w:color w:val="000000"/>
          <w:kern w:val="0"/>
          <w:sz w:val="32"/>
          <w:szCs w:val="32"/>
          <w:highlight w:val="none"/>
        </w:rPr>
        <w:t>（或国家机关工作人员离任后</w:t>
      </w:r>
      <w:r>
        <w:rPr>
          <w:rFonts w:hint="eastAsia"/>
          <w:bCs/>
          <w:color w:val="000000"/>
          <w:kern w:val="0"/>
          <w:sz w:val="32"/>
          <w:szCs w:val="32"/>
          <w:highlight w:val="none"/>
        </w:rPr>
        <w:t>或无职称申报人员</w:t>
      </w:r>
      <w:r>
        <w:rPr>
          <w:bCs/>
          <w:color w:val="000000"/>
          <w:kern w:val="0"/>
          <w:sz w:val="32"/>
          <w:szCs w:val="32"/>
          <w:highlight w:val="none"/>
        </w:rPr>
        <w:t>从事律师执业）</w:t>
      </w:r>
      <w:r>
        <w:rPr>
          <w:color w:val="000000"/>
          <w:sz w:val="32"/>
          <w:szCs w:val="32"/>
          <w:highlight w:val="none"/>
        </w:rPr>
        <w:t>以来，</w:t>
      </w:r>
      <w:r>
        <w:rPr>
          <w:color w:val="000000"/>
          <w:kern w:val="0"/>
          <w:sz w:val="32"/>
          <w:szCs w:val="32"/>
          <w:highlight w:val="none"/>
        </w:rPr>
        <w:t>具备下列条件之一：</w:t>
      </w:r>
    </w:p>
    <w:p w14:paraId="6BB55A98">
      <w:pPr>
        <w:adjustRightInd w:val="0"/>
        <w:snapToGrid w:val="0"/>
        <w:spacing w:line="594" w:lineRule="exact"/>
        <w:ind w:firstLine="640" w:firstLineChars="200"/>
        <w:textAlignment w:val="baseline"/>
        <w:rPr>
          <w:bCs/>
          <w:color w:val="000000"/>
          <w:kern w:val="0"/>
          <w:szCs w:val="32"/>
          <w:highlight w:val="none"/>
        </w:rPr>
      </w:pPr>
      <w:r>
        <w:rPr>
          <w:color w:val="000000"/>
          <w:sz w:val="32"/>
          <w:szCs w:val="32"/>
          <w:highlight w:val="none"/>
        </w:rPr>
        <w:t>（一）</w:t>
      </w:r>
      <w:r>
        <w:rPr>
          <w:bCs/>
          <w:color w:val="000000"/>
          <w:kern w:val="0"/>
          <w:sz w:val="32"/>
          <w:szCs w:val="32"/>
          <w:highlight w:val="none"/>
        </w:rPr>
        <w:t>担任过1家以上县级（含以上）政府（党委）法律顾问，提出1项以上法律意见建议被采纳。</w:t>
      </w:r>
    </w:p>
    <w:p w14:paraId="4342BB2D">
      <w:pPr>
        <w:adjustRightInd w:val="0"/>
        <w:snapToGrid w:val="0"/>
        <w:spacing w:line="594" w:lineRule="exact"/>
        <w:ind w:firstLine="640" w:firstLineChars="200"/>
        <w:textAlignment w:val="baseline"/>
        <w:rPr>
          <w:bCs/>
          <w:color w:val="000000"/>
          <w:kern w:val="0"/>
          <w:szCs w:val="32"/>
          <w:highlight w:val="none"/>
        </w:rPr>
      </w:pPr>
      <w:r>
        <w:rPr>
          <w:color w:val="000000"/>
          <w:sz w:val="32"/>
          <w:szCs w:val="32"/>
          <w:highlight w:val="none"/>
        </w:rPr>
        <w:t>（二）</w:t>
      </w:r>
      <w:r>
        <w:rPr>
          <w:bCs/>
          <w:color w:val="000000"/>
          <w:kern w:val="0"/>
          <w:sz w:val="32"/>
          <w:szCs w:val="32"/>
          <w:highlight w:val="none"/>
        </w:rPr>
        <w:t>办理各类诉讼、非诉讼案件业绩良好，独立承办1件以上或参与办理2件以上区内有重大影响的案件，有1项以上的辩护、代理意见被采纳。</w:t>
      </w:r>
    </w:p>
    <w:p w14:paraId="32567D87">
      <w:pPr>
        <w:adjustRightInd w:val="0"/>
        <w:snapToGrid w:val="0"/>
        <w:spacing w:line="594" w:lineRule="exact"/>
        <w:ind w:firstLine="640" w:firstLineChars="200"/>
        <w:textAlignment w:val="baseline"/>
        <w:rPr>
          <w:bCs/>
          <w:color w:val="000000"/>
          <w:kern w:val="0"/>
          <w:szCs w:val="32"/>
          <w:highlight w:val="none"/>
        </w:rPr>
      </w:pPr>
      <w:r>
        <w:rPr>
          <w:color w:val="000000"/>
          <w:sz w:val="32"/>
          <w:szCs w:val="32"/>
          <w:highlight w:val="none"/>
        </w:rPr>
        <w:t>（三）</w:t>
      </w:r>
      <w:r>
        <w:rPr>
          <w:bCs/>
          <w:color w:val="000000"/>
          <w:kern w:val="0"/>
          <w:sz w:val="32"/>
          <w:szCs w:val="32"/>
          <w:highlight w:val="none"/>
        </w:rPr>
        <w:t>在律师业务相关理论与实务领域取得一定的科研成果，获得市级以上社会科学优秀成果三等奖以上的主要贡献者（前二名，下同）。</w:t>
      </w:r>
    </w:p>
    <w:p w14:paraId="402B9ECA">
      <w:pPr>
        <w:adjustRightInd w:val="0"/>
        <w:snapToGrid w:val="0"/>
        <w:spacing w:line="594" w:lineRule="exact"/>
        <w:ind w:firstLine="640" w:firstLineChars="200"/>
        <w:textAlignment w:val="baseline"/>
        <w:rPr>
          <w:bCs/>
          <w:color w:val="000000"/>
          <w:kern w:val="0"/>
          <w:szCs w:val="32"/>
          <w:highlight w:val="none"/>
        </w:rPr>
      </w:pPr>
      <w:r>
        <w:rPr>
          <w:color w:val="000000"/>
          <w:sz w:val="32"/>
          <w:szCs w:val="32"/>
          <w:highlight w:val="none"/>
        </w:rPr>
        <w:t>（四）</w:t>
      </w:r>
      <w:r>
        <w:rPr>
          <w:bCs/>
          <w:color w:val="000000"/>
          <w:kern w:val="0"/>
          <w:sz w:val="32"/>
          <w:szCs w:val="32"/>
          <w:highlight w:val="none"/>
        </w:rPr>
        <w:t>主持或作为主研人员参与承担市（厅）级律师实务或法学理论研究课题（项目）1项以上。</w:t>
      </w:r>
    </w:p>
    <w:p w14:paraId="07DA6C2E">
      <w:pPr>
        <w:adjustRightInd w:val="0"/>
        <w:snapToGri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第八条　论文、著作条件</w:t>
      </w:r>
    </w:p>
    <w:p w14:paraId="63D6F5E6">
      <w:pPr>
        <w:adjustRightInd w:val="0"/>
        <w:snapToGrid w:val="0"/>
        <w:spacing w:line="594" w:lineRule="exact"/>
        <w:ind w:firstLine="640" w:firstLineChars="200"/>
        <w:textAlignment w:val="baseline"/>
        <w:rPr>
          <w:color w:val="000000"/>
          <w:kern w:val="0"/>
          <w:szCs w:val="32"/>
          <w:highlight w:val="none"/>
        </w:rPr>
      </w:pPr>
      <w:r>
        <w:rPr>
          <w:bCs/>
          <w:color w:val="000000"/>
          <w:kern w:val="0"/>
          <w:sz w:val="32"/>
          <w:szCs w:val="32"/>
          <w:highlight w:val="none"/>
        </w:rPr>
        <w:t>取得初级职称（或国家机关工作人员离任后</w:t>
      </w:r>
      <w:r>
        <w:rPr>
          <w:rFonts w:hint="eastAsia"/>
          <w:bCs/>
          <w:color w:val="000000"/>
          <w:kern w:val="0"/>
          <w:sz w:val="32"/>
          <w:szCs w:val="32"/>
          <w:highlight w:val="none"/>
        </w:rPr>
        <w:t>或无职称申报人员</w:t>
      </w:r>
      <w:r>
        <w:rPr>
          <w:bCs/>
          <w:color w:val="000000"/>
          <w:kern w:val="0"/>
          <w:sz w:val="32"/>
          <w:szCs w:val="32"/>
          <w:highlight w:val="none"/>
        </w:rPr>
        <w:t>从事律师执业）以来，</w:t>
      </w:r>
      <w:r>
        <w:rPr>
          <w:color w:val="000000"/>
          <w:kern w:val="0"/>
          <w:sz w:val="32"/>
          <w:szCs w:val="32"/>
          <w:highlight w:val="none"/>
        </w:rPr>
        <w:t>具备下列条件之一：</w:t>
      </w:r>
    </w:p>
    <w:p w14:paraId="2714A8BB">
      <w:pPr>
        <w:adjustRightInd w:val="0"/>
        <w:snapToGrid w:val="0"/>
        <w:spacing w:line="594" w:lineRule="exact"/>
        <w:ind w:firstLine="640" w:firstLineChars="200"/>
        <w:textAlignment w:val="baseline"/>
        <w:rPr>
          <w:color w:val="000000"/>
          <w:kern w:val="0"/>
          <w:szCs w:val="32"/>
          <w:highlight w:val="none"/>
        </w:rPr>
      </w:pPr>
      <w:r>
        <w:rPr>
          <w:color w:val="000000"/>
          <w:sz w:val="32"/>
          <w:szCs w:val="32"/>
          <w:highlight w:val="none"/>
        </w:rPr>
        <w:t>（一）</w:t>
      </w:r>
      <w:r>
        <w:rPr>
          <w:color w:val="000000"/>
          <w:kern w:val="0"/>
          <w:sz w:val="32"/>
          <w:szCs w:val="32"/>
          <w:highlight w:val="none"/>
        </w:rPr>
        <w:t>出版律师业务或其他法律方面的专著、译著1部（本人编著2万字以上）。</w:t>
      </w:r>
    </w:p>
    <w:p w14:paraId="2E07137F">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（二）公开发表律师业务领域的学术论文，或律师业务论文、案例分析入选省级以上的学术研讨会论文集或在会议上宣读，累计2篇以上。</w:t>
      </w:r>
    </w:p>
    <w:p w14:paraId="38155BA3">
      <w:pPr>
        <w:adjustRightInd w:val="0"/>
        <w:snapToGrid w:val="0"/>
        <w:spacing w:line="594" w:lineRule="exact"/>
        <w:ind w:firstLine="640" w:firstLineChars="200"/>
        <w:textAlignment w:val="baseline"/>
        <w:rPr>
          <w:color w:val="000000"/>
          <w:szCs w:val="32"/>
          <w:highlight w:val="none"/>
        </w:rPr>
      </w:pPr>
      <w:r>
        <w:rPr>
          <w:color w:val="000000"/>
          <w:sz w:val="32"/>
          <w:szCs w:val="32"/>
          <w:highlight w:val="none"/>
        </w:rPr>
        <w:t>（三）个人撰写的决策咨询类信息被自治区级以上党委、政府采用的可以替代论文条件，按自治区有关规定执行。</w:t>
      </w:r>
    </w:p>
    <w:p w14:paraId="032914A3">
      <w:pPr>
        <w:tabs>
          <w:tab w:val="left" w:pos="837"/>
        </w:tabs>
        <w:adjustRightInd w:val="0"/>
        <w:spacing w:line="594" w:lineRule="exact"/>
        <w:ind w:firstLine="640" w:firstLineChars="200"/>
        <w:textAlignment w:val="baseline"/>
        <w:rPr>
          <w:rFonts w:ascii="黑体" w:hAnsi="黑体" w:eastAsia="黑体"/>
          <w:color w:val="000000"/>
          <w:szCs w:val="32"/>
          <w:highlight w:val="none"/>
        </w:rPr>
      </w:pPr>
      <w:r>
        <w:rPr>
          <w:rFonts w:ascii="黑体" w:hAnsi="黑体" w:eastAsia="黑体"/>
          <w:bCs/>
          <w:color w:val="000000"/>
          <w:kern w:val="0"/>
          <w:sz w:val="32"/>
          <w:szCs w:val="32"/>
          <w:highlight w:val="none"/>
        </w:rPr>
        <w:t>第九条  破格条件</w:t>
      </w:r>
    </w:p>
    <w:p w14:paraId="08852681">
      <w:pPr>
        <w:shd w:val="clear" w:color="auto" w:fill="FFFFFF"/>
        <w:adjustRightInd w:val="0"/>
        <w:spacing w:line="594" w:lineRule="exact"/>
        <w:ind w:firstLine="640" w:firstLineChars="200"/>
        <w:rPr>
          <w:color w:val="000000"/>
          <w:szCs w:val="32"/>
          <w:highlight w:val="none"/>
        </w:rPr>
      </w:pPr>
      <w:r>
        <w:rPr>
          <w:sz w:val="32"/>
          <w:szCs w:val="32"/>
          <w:highlight w:val="none"/>
        </w:rPr>
        <w:t>取得现职称以来，对具备规定的资历条件，但不具备规定的学历条件，或具备规定的学历条件，但未达到资历条件中规定的年限的，</w:t>
      </w:r>
      <w:r>
        <w:rPr>
          <w:color w:val="000000"/>
          <w:sz w:val="32"/>
          <w:szCs w:val="32"/>
          <w:highlight w:val="none"/>
        </w:rPr>
        <w:t>获得律师业务或其他法学专业工作县处级以上表彰奖励的，可破格申报</w:t>
      </w:r>
      <w:r>
        <w:rPr>
          <w:bCs/>
          <w:color w:val="000000"/>
          <w:sz w:val="32"/>
          <w:szCs w:val="32"/>
          <w:highlight w:val="none"/>
        </w:rPr>
        <w:t>。</w:t>
      </w:r>
    </w:p>
    <w:p w14:paraId="7F387095">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第十条　附则</w:t>
      </w:r>
    </w:p>
    <w:p w14:paraId="53995EC1">
      <w:pPr>
        <w:adjustRightInd w:val="0"/>
        <w:spacing w:line="594" w:lineRule="exact"/>
        <w:ind w:firstLine="640" w:firstLineChars="200"/>
        <w:rPr>
          <w:color w:val="000000"/>
          <w:szCs w:val="32"/>
          <w:highlight w:val="none"/>
        </w:rPr>
      </w:pPr>
      <w:r>
        <w:rPr>
          <w:color w:val="000000"/>
          <w:sz w:val="32"/>
          <w:szCs w:val="32"/>
          <w:highlight w:val="none"/>
        </w:rPr>
        <w:t>（一）本条件自下发之日起执行，此前与本条件不一致的，以本条件为准。</w:t>
      </w:r>
    </w:p>
    <w:p w14:paraId="71A633CD">
      <w:pPr>
        <w:adjustRightInd w:val="0"/>
        <w:spacing w:line="594" w:lineRule="exact"/>
        <w:ind w:firstLine="640" w:firstLineChars="200"/>
        <w:rPr>
          <w:color w:val="000000"/>
          <w:szCs w:val="32"/>
          <w:highlight w:val="none"/>
        </w:rPr>
      </w:pPr>
      <w:r>
        <w:rPr>
          <w:color w:val="000000"/>
          <w:sz w:val="32"/>
          <w:szCs w:val="32"/>
          <w:highlight w:val="none"/>
        </w:rPr>
        <w:t>（二）本条件由自治区职改办、自治区司法厅职改办按职责分工负责解释。</w:t>
      </w:r>
    </w:p>
    <w:p w14:paraId="076AA4D0">
      <w:pPr>
        <w:adjustRightInd w:val="0"/>
        <w:spacing w:line="594" w:lineRule="exact"/>
        <w:ind w:firstLine="640" w:firstLineChars="200"/>
        <w:rPr>
          <w:color w:val="000000"/>
          <w:kern w:val="0"/>
          <w:szCs w:val="32"/>
          <w:highlight w:val="none"/>
        </w:rPr>
      </w:pPr>
      <w:r>
        <w:rPr>
          <w:color w:val="000000"/>
          <w:sz w:val="32"/>
          <w:szCs w:val="32"/>
          <w:highlight w:val="none"/>
        </w:rPr>
        <w:t>（三）与本条件相关的词（语）解释见附录。</w:t>
      </w:r>
    </w:p>
    <w:p w14:paraId="20ED7FB0">
      <w:pPr>
        <w:snapToGrid w:val="0"/>
        <w:spacing w:line="594" w:lineRule="exact"/>
        <w:jc w:val="center"/>
        <w:textAlignment w:val="baseline"/>
        <w:rPr>
          <w:color w:val="000000"/>
          <w:kern w:val="0"/>
          <w:sz w:val="44"/>
          <w:szCs w:val="44"/>
          <w:highlight w:val="none"/>
        </w:rPr>
      </w:pPr>
      <w:r>
        <w:rPr>
          <w:color w:val="000000"/>
          <w:kern w:val="0"/>
          <w:szCs w:val="32"/>
          <w:highlight w:val="none"/>
        </w:rPr>
        <w:br w:type="page"/>
      </w:r>
    </w:p>
    <w:p w14:paraId="73C1051A">
      <w:pPr>
        <w:snapToGrid w:val="0"/>
        <w:spacing w:line="594" w:lineRule="exact"/>
        <w:jc w:val="center"/>
        <w:textAlignment w:val="baseline"/>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广西壮族自治区律师系列四级律师</w:t>
      </w:r>
    </w:p>
    <w:p w14:paraId="5E8AF01F">
      <w:pPr>
        <w:snapToGrid w:val="0"/>
        <w:spacing w:line="594" w:lineRule="exact"/>
        <w:jc w:val="center"/>
        <w:textAlignment w:val="baseline"/>
        <w:rPr>
          <w:rFonts w:hint="eastAsia" w:ascii="方正小标宋简体" w:hAnsi="方正小标宋简体" w:eastAsia="方正小标宋简体" w:cs="方正小标宋简体"/>
          <w:color w:val="000000"/>
          <w:kern w:val="0"/>
          <w:sz w:val="44"/>
          <w:szCs w:val="44"/>
          <w:highlight w:val="none"/>
        </w:rPr>
      </w:pPr>
      <w:r>
        <w:rPr>
          <w:rFonts w:hint="eastAsia" w:ascii="方正小标宋简体" w:hAnsi="方正小标宋简体" w:eastAsia="方正小标宋简体" w:cs="方正小标宋简体"/>
          <w:color w:val="000000"/>
          <w:kern w:val="0"/>
          <w:sz w:val="44"/>
          <w:szCs w:val="44"/>
          <w:highlight w:val="none"/>
        </w:rPr>
        <w:t>职称评审条件</w:t>
      </w:r>
    </w:p>
    <w:p w14:paraId="077D1033">
      <w:pPr>
        <w:snapToGrid w:val="0"/>
        <w:spacing w:line="594" w:lineRule="exact"/>
        <w:ind w:firstLine="600" w:firstLineChars="200"/>
        <w:textAlignment w:val="baseline"/>
        <w:rPr>
          <w:rFonts w:hint="eastAsia" w:ascii="方正小标宋简体" w:hAnsi="方正小标宋简体" w:eastAsia="方正小标宋简体" w:cs="方正小标宋简体"/>
          <w:bCs/>
          <w:color w:val="000000"/>
          <w:kern w:val="0"/>
          <w:szCs w:val="32"/>
          <w:highlight w:val="none"/>
        </w:rPr>
      </w:pPr>
    </w:p>
    <w:p w14:paraId="16E04FAF">
      <w:pPr>
        <w:adjustRightInd w:val="0"/>
        <w:snapToGrid w:val="0"/>
        <w:spacing w:line="594" w:lineRule="exact"/>
        <w:ind w:firstLine="640" w:firstLineChars="200"/>
        <w:textAlignment w:val="baseline"/>
        <w:rPr>
          <w:color w:val="000000"/>
          <w:kern w:val="0"/>
          <w:szCs w:val="32"/>
          <w:highlight w:val="none"/>
        </w:rPr>
      </w:pPr>
      <w:r>
        <w:rPr>
          <w:rFonts w:ascii="黑体" w:hAnsi="黑体" w:eastAsia="黑体"/>
          <w:bCs/>
          <w:color w:val="000000"/>
          <w:kern w:val="0"/>
          <w:sz w:val="32"/>
          <w:szCs w:val="32"/>
          <w:highlight w:val="none"/>
        </w:rPr>
        <w:t>评定标准：</w:t>
      </w:r>
      <w:r>
        <w:rPr>
          <w:color w:val="000000"/>
          <w:kern w:val="0"/>
          <w:sz w:val="32"/>
          <w:szCs w:val="32"/>
          <w:highlight w:val="none"/>
        </w:rPr>
        <w:t>比较系统地掌握了法律基础理论知识和律师业务知识，掌握办案程序，具有一定的律师业务实践经验和较强的独立工作能力，取得较好的工作业绩。</w:t>
      </w:r>
    </w:p>
    <w:p w14:paraId="2AE28391">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第一条  适用范围</w:t>
      </w:r>
    </w:p>
    <w:p w14:paraId="5916F85C">
      <w:pPr>
        <w:adjustRightInd w:val="0"/>
        <w:snapToGrid w:val="0"/>
        <w:spacing w:line="594" w:lineRule="exact"/>
        <w:ind w:firstLine="640" w:firstLineChars="200"/>
        <w:textAlignment w:val="baseline"/>
        <w:rPr>
          <w:color w:val="000000"/>
          <w:szCs w:val="32"/>
          <w:highlight w:val="none"/>
        </w:rPr>
      </w:pPr>
      <w:r>
        <w:rPr>
          <w:color w:val="000000"/>
          <w:kern w:val="0"/>
          <w:sz w:val="32"/>
          <w:szCs w:val="32"/>
          <w:highlight w:val="none"/>
        </w:rPr>
        <w:t>本条件适用于在广西依法取得《律师执业证》、从事律师业务工作的人员申报评审四级律师职称</w:t>
      </w:r>
      <w:r>
        <w:rPr>
          <w:color w:val="000000"/>
          <w:sz w:val="32"/>
          <w:szCs w:val="32"/>
          <w:highlight w:val="none"/>
        </w:rPr>
        <w:t>。</w:t>
      </w:r>
    </w:p>
    <w:p w14:paraId="442B7210">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第二条　政治思想条件</w:t>
      </w:r>
    </w:p>
    <w:p w14:paraId="7FBF1E81">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热爱祖国，拥护中国共产党领导，拥护社会主义法治，贯彻执行党的路线方针政策；遵守国家法律和法规，有良好的职业道德和敬业精神，廉洁奉公，忠于职守，诚实守信；坚持以事实为依据，以法律为准绳，认真履行律师职责，切实</w:t>
      </w:r>
      <w:r>
        <w:rPr>
          <w:color w:val="000000"/>
          <w:sz w:val="32"/>
          <w:szCs w:val="32"/>
          <w:highlight w:val="none"/>
        </w:rPr>
        <w:t>维护当事人的合法权益、维护法律正确实施、维护社会公平和正义，积极为经济社会发展提供优质高效的法律服务和法律保障。</w:t>
      </w:r>
    </w:p>
    <w:p w14:paraId="2A91DEA8">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有下列情形之一的，不能申报：</w:t>
      </w:r>
    </w:p>
    <w:p w14:paraId="7305F7F5">
      <w:pPr>
        <w:tabs>
          <w:tab w:val="left" w:pos="837"/>
        </w:tabs>
        <w:adjustRightInd w:val="0"/>
        <w:spacing w:line="594" w:lineRule="exact"/>
        <w:ind w:firstLine="640" w:firstLineChars="200"/>
        <w:textAlignment w:val="baseline"/>
        <w:rPr>
          <w:color w:val="000000"/>
          <w:szCs w:val="32"/>
          <w:highlight w:val="none"/>
        </w:rPr>
      </w:pPr>
      <w:r>
        <w:rPr>
          <w:color w:val="000000"/>
          <w:sz w:val="32"/>
          <w:szCs w:val="32"/>
          <w:highlight w:val="none"/>
        </w:rPr>
        <w:t>（一）</w:t>
      </w:r>
      <w:r>
        <w:rPr>
          <w:color w:val="000000"/>
          <w:kern w:val="0"/>
          <w:sz w:val="32"/>
          <w:szCs w:val="32"/>
          <w:highlight w:val="none"/>
        </w:rPr>
        <w:t xml:space="preserve">从申报当年往前推算，5年内有过年度考核不称职的，原则上不得申报；  </w:t>
      </w:r>
    </w:p>
    <w:p w14:paraId="07602DD4">
      <w:pPr>
        <w:adjustRightInd w:val="0"/>
        <w:snapToGrid w:val="0"/>
        <w:spacing w:line="594" w:lineRule="exact"/>
        <w:ind w:firstLine="640" w:firstLineChars="200"/>
        <w:textAlignment w:val="baseline"/>
        <w:rPr>
          <w:color w:val="000000"/>
          <w:kern w:val="0"/>
          <w:szCs w:val="32"/>
          <w:highlight w:val="none"/>
        </w:rPr>
      </w:pPr>
      <w:r>
        <w:rPr>
          <w:color w:val="000000"/>
          <w:sz w:val="32"/>
          <w:szCs w:val="32"/>
          <w:highlight w:val="none"/>
        </w:rPr>
        <w:t>（二）</w:t>
      </w:r>
      <w:r>
        <w:rPr>
          <w:color w:val="000000"/>
          <w:kern w:val="0"/>
          <w:sz w:val="32"/>
          <w:szCs w:val="32"/>
          <w:highlight w:val="none"/>
        </w:rPr>
        <w:t>在申报过程中被发现有伪造学历、资历、业绩成果，或剽窃他人成果等弄虚作假行为者，自申报当年起，5年内不得申报；累计两次的，终身不得申报。通过上述手段骗取职称者，撤销其职称，自撤销之日起，5年内不得申报；</w:t>
      </w:r>
    </w:p>
    <w:p w14:paraId="6C501D08">
      <w:pPr>
        <w:tabs>
          <w:tab w:val="left" w:pos="837"/>
        </w:tabs>
        <w:adjustRightInd w:val="0"/>
        <w:spacing w:line="594" w:lineRule="exact"/>
        <w:ind w:firstLine="640" w:firstLineChars="200"/>
        <w:textAlignment w:val="baseline"/>
        <w:rPr>
          <w:color w:val="000000"/>
          <w:spacing w:val="4"/>
          <w:szCs w:val="32"/>
          <w:highlight w:val="none"/>
        </w:rPr>
      </w:pPr>
      <w:r>
        <w:rPr>
          <w:color w:val="000000"/>
          <w:sz w:val="32"/>
          <w:szCs w:val="32"/>
          <w:highlight w:val="none"/>
        </w:rPr>
        <w:t>（三）因涉嫌违法违纪正在接受查处的，在查处期间或处分处罚影响期（公开谴责、警告自决定之日起6个月，罚款、没收</w:t>
      </w:r>
      <w:r>
        <w:rPr>
          <w:color w:val="000000"/>
          <w:spacing w:val="4"/>
          <w:sz w:val="32"/>
          <w:szCs w:val="32"/>
          <w:highlight w:val="none"/>
        </w:rPr>
        <w:t>违法所得自决定之日起1年，中止会员权利为执行期及执行期满后1年，停止执业处罚为执行期及执行期满后3年）内不得申报。</w:t>
      </w:r>
    </w:p>
    <w:p w14:paraId="68378EF5">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第三条　学历、资历条件</w:t>
      </w:r>
    </w:p>
    <w:p w14:paraId="19A9E119">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大学本科以上学历，从事律师执业1年以上；大专学历，从事律师执业3年以上。</w:t>
      </w:r>
    </w:p>
    <w:p w14:paraId="642D997E">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第四条　外语和计算机应用能力条件</w:t>
      </w:r>
    </w:p>
    <w:p w14:paraId="365A610E">
      <w:pPr>
        <w:adjustRightInd w:val="0"/>
        <w:snapToGrid w:val="0"/>
        <w:spacing w:line="594" w:lineRule="exact"/>
        <w:ind w:firstLine="640" w:firstLineChars="200"/>
        <w:textAlignment w:val="baseline"/>
        <w:rPr>
          <w:color w:val="000000"/>
          <w:kern w:val="0"/>
          <w:szCs w:val="32"/>
          <w:highlight w:val="none"/>
          <w:u w:val="single" w:color="000000"/>
        </w:rPr>
      </w:pPr>
      <w:r>
        <w:rPr>
          <w:color w:val="000000"/>
          <w:kern w:val="0"/>
          <w:sz w:val="32"/>
          <w:szCs w:val="32"/>
          <w:highlight w:val="none"/>
        </w:rPr>
        <w:t>对外语和计算机应用能力不作要求。</w:t>
      </w:r>
    </w:p>
    <w:p w14:paraId="5A2ACABC">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第五条　继续教育条件</w:t>
      </w:r>
    </w:p>
    <w:p w14:paraId="1F0154E6">
      <w:pPr>
        <w:tabs>
          <w:tab w:val="left" w:pos="837"/>
        </w:tabs>
        <w:adjustRightInd w:val="0"/>
        <w:spacing w:line="594" w:lineRule="exact"/>
        <w:ind w:firstLine="640" w:firstLineChars="200"/>
        <w:textAlignment w:val="baseline"/>
        <w:rPr>
          <w:color w:val="000000"/>
          <w:kern w:val="0"/>
          <w:szCs w:val="32"/>
          <w:highlight w:val="none"/>
        </w:rPr>
      </w:pPr>
      <w:r>
        <w:rPr>
          <w:color w:val="000000"/>
          <w:kern w:val="0"/>
          <w:sz w:val="32"/>
          <w:szCs w:val="32"/>
          <w:highlight w:val="none"/>
        </w:rPr>
        <w:t>完成本部门、行业及政府人力资源和社会保障部门规定的继续教育任务。</w:t>
      </w:r>
    </w:p>
    <w:p w14:paraId="4E3EE131">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第六条  专业技术工作经历（能力）条件</w:t>
      </w:r>
    </w:p>
    <w:p w14:paraId="40A2E88D">
      <w:pPr>
        <w:adjustRightInd w:val="0"/>
        <w:snapToGrid w:val="0"/>
        <w:spacing w:line="594" w:lineRule="exact"/>
        <w:ind w:firstLine="640" w:firstLineChars="200"/>
        <w:textAlignment w:val="baseline"/>
        <w:rPr>
          <w:color w:val="000000"/>
          <w:kern w:val="0"/>
          <w:szCs w:val="32"/>
          <w:highlight w:val="none"/>
        </w:rPr>
      </w:pPr>
      <w:r>
        <w:rPr>
          <w:color w:val="000000"/>
          <w:kern w:val="0"/>
          <w:sz w:val="32"/>
          <w:szCs w:val="32"/>
          <w:highlight w:val="none"/>
        </w:rPr>
        <w:t xml:space="preserve">比较系统地掌握与律师业务相关的法律知识，熟悉律师业务办理流程，能较好地运用法律知识解决律师业务中出现的问题，每年独立办理或合作办理各类案件5件以上。 </w:t>
      </w:r>
    </w:p>
    <w:p w14:paraId="068A3E12">
      <w:pPr>
        <w:tabs>
          <w:tab w:val="left" w:pos="837"/>
        </w:tabs>
        <w:adjustRightInd w:val="0"/>
        <w:spacing w:line="594" w:lineRule="exact"/>
        <w:ind w:firstLine="640" w:firstLineChars="200"/>
        <w:textAlignment w:val="baseline"/>
        <w:rPr>
          <w:rFonts w:ascii="黑体" w:hAnsi="黑体" w:eastAsia="黑体"/>
          <w:bCs/>
          <w:color w:val="000000"/>
          <w:kern w:val="0"/>
          <w:szCs w:val="32"/>
          <w:highlight w:val="none"/>
        </w:rPr>
      </w:pPr>
      <w:r>
        <w:rPr>
          <w:rFonts w:ascii="黑体" w:hAnsi="黑体" w:eastAsia="黑体"/>
          <w:bCs/>
          <w:color w:val="000000"/>
          <w:kern w:val="0"/>
          <w:sz w:val="32"/>
          <w:szCs w:val="32"/>
          <w:highlight w:val="none"/>
        </w:rPr>
        <w:t>第七条　附则</w:t>
      </w:r>
    </w:p>
    <w:p w14:paraId="62DAE0B9">
      <w:pPr>
        <w:adjustRightInd w:val="0"/>
        <w:spacing w:line="594" w:lineRule="exact"/>
        <w:ind w:firstLine="640" w:firstLineChars="200"/>
        <w:rPr>
          <w:color w:val="000000"/>
          <w:szCs w:val="32"/>
          <w:highlight w:val="none"/>
        </w:rPr>
      </w:pPr>
      <w:r>
        <w:rPr>
          <w:color w:val="000000"/>
          <w:sz w:val="32"/>
          <w:szCs w:val="32"/>
          <w:highlight w:val="none"/>
        </w:rPr>
        <w:t>（一）本条件自下发之日起执行，此前与本条件不一致的，以本条件为准。</w:t>
      </w:r>
    </w:p>
    <w:p w14:paraId="59731741">
      <w:pPr>
        <w:adjustRightInd w:val="0"/>
        <w:spacing w:line="594" w:lineRule="exact"/>
        <w:ind w:firstLine="640" w:firstLineChars="200"/>
        <w:rPr>
          <w:color w:val="000000"/>
          <w:szCs w:val="32"/>
          <w:highlight w:val="none"/>
        </w:rPr>
      </w:pPr>
      <w:r>
        <w:rPr>
          <w:color w:val="000000"/>
          <w:sz w:val="32"/>
          <w:szCs w:val="32"/>
          <w:highlight w:val="none"/>
        </w:rPr>
        <w:t>（二）本条件由自治区职改办、自治区司法厅职改办按职责分工负责解释。</w:t>
      </w:r>
    </w:p>
    <w:p w14:paraId="18C134FE">
      <w:pPr>
        <w:adjustRightInd w:val="0"/>
        <w:spacing w:line="594" w:lineRule="exact"/>
        <w:ind w:firstLine="640" w:firstLineChars="200"/>
        <w:rPr>
          <w:color w:val="000000"/>
          <w:szCs w:val="32"/>
          <w:highlight w:val="none"/>
        </w:rPr>
      </w:pPr>
      <w:r>
        <w:rPr>
          <w:color w:val="000000"/>
          <w:sz w:val="32"/>
          <w:szCs w:val="32"/>
          <w:highlight w:val="none"/>
        </w:rPr>
        <w:t>（三）与本条件相关的词（语）解释见附录。</w:t>
      </w:r>
    </w:p>
    <w:p w14:paraId="49ED9149">
      <w:pPr>
        <w:snapToGrid w:val="0"/>
        <w:spacing w:line="594" w:lineRule="exact"/>
        <w:jc w:val="center"/>
        <w:textAlignment w:val="baseline"/>
        <w:rPr>
          <w:bCs/>
          <w:color w:val="000000"/>
          <w:kern w:val="0"/>
          <w:sz w:val="32"/>
          <w:szCs w:val="32"/>
          <w:highlight w:val="none"/>
        </w:rPr>
      </w:pPr>
    </w:p>
    <w:p w14:paraId="5467A4B9">
      <w:pPr>
        <w:snapToGrid w:val="0"/>
        <w:spacing w:line="594" w:lineRule="exact"/>
        <w:jc w:val="center"/>
        <w:textAlignment w:val="baseline"/>
        <w:rPr>
          <w:bCs/>
          <w:color w:val="000000"/>
          <w:kern w:val="0"/>
          <w:sz w:val="32"/>
          <w:szCs w:val="32"/>
          <w:highlight w:val="none"/>
        </w:rPr>
      </w:pPr>
    </w:p>
    <w:p w14:paraId="44E68C24">
      <w:pPr>
        <w:snapToGrid w:val="0"/>
        <w:spacing w:line="594" w:lineRule="exact"/>
        <w:jc w:val="center"/>
        <w:textAlignment w:val="baseline"/>
        <w:rPr>
          <w:bCs/>
          <w:color w:val="000000"/>
          <w:kern w:val="0"/>
          <w:sz w:val="32"/>
          <w:szCs w:val="32"/>
          <w:highlight w:val="none"/>
        </w:rPr>
      </w:pPr>
    </w:p>
    <w:p w14:paraId="2F3F3374">
      <w:pPr>
        <w:snapToGrid w:val="0"/>
        <w:spacing w:line="594" w:lineRule="exact"/>
        <w:jc w:val="center"/>
        <w:textAlignment w:val="baseline"/>
        <w:rPr>
          <w:bCs/>
          <w:color w:val="000000"/>
          <w:kern w:val="0"/>
          <w:sz w:val="32"/>
          <w:szCs w:val="32"/>
          <w:highlight w:val="none"/>
        </w:rPr>
      </w:pPr>
    </w:p>
    <w:p w14:paraId="21693882">
      <w:pPr>
        <w:snapToGrid w:val="0"/>
        <w:spacing w:line="594" w:lineRule="exact"/>
        <w:jc w:val="center"/>
        <w:textAlignment w:val="baseline"/>
        <w:rPr>
          <w:bCs/>
          <w:color w:val="000000"/>
          <w:kern w:val="0"/>
          <w:sz w:val="32"/>
          <w:szCs w:val="32"/>
          <w:highlight w:val="none"/>
        </w:rPr>
      </w:pPr>
    </w:p>
    <w:p w14:paraId="09874CF8">
      <w:pPr>
        <w:snapToGrid w:val="0"/>
        <w:spacing w:line="594" w:lineRule="exact"/>
        <w:jc w:val="center"/>
        <w:textAlignment w:val="baseline"/>
        <w:rPr>
          <w:bCs/>
          <w:color w:val="000000"/>
          <w:kern w:val="0"/>
          <w:sz w:val="32"/>
          <w:szCs w:val="32"/>
          <w:highlight w:val="none"/>
        </w:rPr>
      </w:pPr>
    </w:p>
    <w:p w14:paraId="1A1ADF15">
      <w:pPr>
        <w:snapToGrid w:val="0"/>
        <w:spacing w:line="594" w:lineRule="exact"/>
        <w:jc w:val="center"/>
        <w:textAlignment w:val="baseline"/>
        <w:rPr>
          <w:bCs/>
          <w:color w:val="000000"/>
          <w:kern w:val="0"/>
          <w:sz w:val="32"/>
          <w:szCs w:val="32"/>
          <w:highlight w:val="none"/>
        </w:rPr>
      </w:pPr>
    </w:p>
    <w:p w14:paraId="4B77BF3D">
      <w:pPr>
        <w:snapToGrid w:val="0"/>
        <w:spacing w:line="594" w:lineRule="exact"/>
        <w:jc w:val="center"/>
        <w:textAlignment w:val="baseline"/>
        <w:rPr>
          <w:bCs/>
          <w:color w:val="000000"/>
          <w:kern w:val="0"/>
          <w:sz w:val="32"/>
          <w:szCs w:val="32"/>
          <w:highlight w:val="none"/>
        </w:rPr>
      </w:pPr>
    </w:p>
    <w:p w14:paraId="3094F0B3">
      <w:pPr>
        <w:snapToGrid w:val="0"/>
        <w:spacing w:line="594" w:lineRule="exact"/>
        <w:jc w:val="center"/>
        <w:textAlignment w:val="baseline"/>
        <w:rPr>
          <w:bCs/>
          <w:color w:val="000000"/>
          <w:kern w:val="0"/>
          <w:sz w:val="32"/>
          <w:szCs w:val="32"/>
          <w:highlight w:val="none"/>
        </w:rPr>
      </w:pPr>
    </w:p>
    <w:p w14:paraId="058968C3">
      <w:pPr>
        <w:snapToGrid w:val="0"/>
        <w:spacing w:line="594" w:lineRule="exact"/>
        <w:jc w:val="center"/>
        <w:textAlignment w:val="baseline"/>
        <w:rPr>
          <w:bCs/>
          <w:color w:val="000000"/>
          <w:kern w:val="0"/>
          <w:sz w:val="32"/>
          <w:szCs w:val="32"/>
          <w:highlight w:val="none"/>
        </w:rPr>
      </w:pPr>
    </w:p>
    <w:p w14:paraId="2F6D4FE8">
      <w:pPr>
        <w:snapToGrid w:val="0"/>
        <w:spacing w:line="594" w:lineRule="exact"/>
        <w:jc w:val="center"/>
        <w:textAlignment w:val="baseline"/>
        <w:rPr>
          <w:bCs/>
          <w:color w:val="000000"/>
          <w:kern w:val="0"/>
          <w:sz w:val="32"/>
          <w:szCs w:val="32"/>
          <w:highlight w:val="none"/>
        </w:rPr>
      </w:pPr>
    </w:p>
    <w:p w14:paraId="3F3F28C2">
      <w:pPr>
        <w:snapToGrid w:val="0"/>
        <w:spacing w:line="594" w:lineRule="exact"/>
        <w:jc w:val="center"/>
        <w:textAlignment w:val="baseline"/>
        <w:rPr>
          <w:bCs/>
          <w:color w:val="000000"/>
          <w:kern w:val="0"/>
          <w:sz w:val="32"/>
          <w:szCs w:val="32"/>
          <w:highlight w:val="none"/>
        </w:rPr>
      </w:pPr>
    </w:p>
    <w:p w14:paraId="0A7EE79B">
      <w:pPr>
        <w:snapToGrid w:val="0"/>
        <w:spacing w:line="594" w:lineRule="exact"/>
        <w:jc w:val="center"/>
        <w:textAlignment w:val="baseline"/>
        <w:rPr>
          <w:bCs/>
          <w:color w:val="000000"/>
          <w:kern w:val="0"/>
          <w:sz w:val="32"/>
          <w:szCs w:val="32"/>
          <w:highlight w:val="none"/>
        </w:rPr>
      </w:pPr>
    </w:p>
    <w:p w14:paraId="5A8396EE">
      <w:pPr>
        <w:snapToGrid w:val="0"/>
        <w:spacing w:line="594" w:lineRule="exact"/>
        <w:jc w:val="center"/>
        <w:textAlignment w:val="baseline"/>
        <w:rPr>
          <w:bCs/>
          <w:color w:val="000000"/>
          <w:kern w:val="0"/>
          <w:sz w:val="32"/>
          <w:szCs w:val="32"/>
          <w:highlight w:val="none"/>
        </w:rPr>
      </w:pPr>
      <w:r>
        <w:rPr>
          <w:bCs/>
          <w:color w:val="000000"/>
          <w:kern w:val="0"/>
          <w:sz w:val="32"/>
          <w:szCs w:val="32"/>
          <w:highlight w:val="none"/>
        </w:rPr>
        <w:br w:type="page"/>
      </w:r>
    </w:p>
    <w:p w14:paraId="05D099D6">
      <w:pPr>
        <w:snapToGrid w:val="0"/>
        <w:spacing w:line="594" w:lineRule="exact"/>
        <w:jc w:val="center"/>
        <w:textAlignment w:val="baseline"/>
        <w:rPr>
          <w:rFonts w:hint="eastAsia" w:ascii="黑体" w:hAnsi="黑体" w:eastAsia="黑体"/>
          <w:color w:val="000000"/>
          <w:sz w:val="36"/>
          <w:szCs w:val="36"/>
          <w:highlight w:val="none"/>
        </w:rPr>
      </w:pPr>
      <w:r>
        <w:rPr>
          <w:rFonts w:ascii="黑体" w:hAnsi="黑体" w:eastAsia="黑体"/>
          <w:bCs/>
          <w:color w:val="000000"/>
          <w:kern w:val="0"/>
          <w:sz w:val="36"/>
          <w:szCs w:val="36"/>
          <w:highlight w:val="none"/>
        </w:rPr>
        <w:t>附录：</w:t>
      </w:r>
      <w:r>
        <w:rPr>
          <w:rFonts w:ascii="黑体" w:hAnsi="黑体" w:eastAsia="黑体"/>
          <w:color w:val="000000"/>
          <w:sz w:val="36"/>
          <w:szCs w:val="36"/>
          <w:highlight w:val="none"/>
        </w:rPr>
        <w:t>相关词语或概念解释</w:t>
      </w:r>
    </w:p>
    <w:p w14:paraId="7684952B">
      <w:pPr>
        <w:widowControl/>
        <w:spacing w:line="594" w:lineRule="exact"/>
        <w:jc w:val="left"/>
        <w:rPr>
          <w:rFonts w:hint="eastAsia"/>
          <w:highlight w:val="none"/>
        </w:rPr>
      </w:pPr>
    </w:p>
    <w:p w14:paraId="54A8771B">
      <w:pPr>
        <w:adjustRightInd w:val="0"/>
        <w:spacing w:line="594" w:lineRule="exact"/>
        <w:ind w:firstLine="640" w:firstLineChars="200"/>
        <w:textAlignment w:val="baseline"/>
        <w:rPr>
          <w:color w:val="000000"/>
          <w:szCs w:val="32"/>
          <w:highlight w:val="none"/>
        </w:rPr>
      </w:pPr>
      <w:r>
        <w:rPr>
          <w:rFonts w:hint="eastAsia"/>
          <w:color w:val="000000"/>
          <w:sz w:val="32"/>
          <w:szCs w:val="32"/>
          <w:highlight w:val="none"/>
        </w:rPr>
        <w:t>一、</w:t>
      </w:r>
      <w:r>
        <w:rPr>
          <w:color w:val="000000"/>
          <w:sz w:val="32"/>
          <w:szCs w:val="32"/>
          <w:highlight w:val="none"/>
        </w:rPr>
        <w:t>国内重大影响案件是指经最高人民法院审结，或裁定下级人民法院重审的案件，或已申诉后改判的案件，或者标的金额为8000万元以上的国内案件或涉外案件。</w:t>
      </w:r>
    </w:p>
    <w:p w14:paraId="4CDE92E4">
      <w:pPr>
        <w:adjustRightInd w:val="0"/>
        <w:spacing w:line="594" w:lineRule="exact"/>
        <w:ind w:firstLine="640" w:firstLineChars="200"/>
        <w:textAlignment w:val="baseline"/>
        <w:rPr>
          <w:color w:val="000000"/>
          <w:szCs w:val="32"/>
          <w:highlight w:val="none"/>
        </w:rPr>
      </w:pPr>
      <w:r>
        <w:rPr>
          <w:rFonts w:hint="eastAsia"/>
          <w:color w:val="000000"/>
          <w:sz w:val="32"/>
          <w:szCs w:val="32"/>
          <w:highlight w:val="none"/>
        </w:rPr>
        <w:t>二、</w:t>
      </w:r>
      <w:r>
        <w:rPr>
          <w:color w:val="000000"/>
          <w:sz w:val="32"/>
          <w:szCs w:val="32"/>
          <w:highlight w:val="none"/>
        </w:rPr>
        <w:t>全区范围内重大影响案件是指经自治区高级人民法院一审或审结，或裁定下级法院重审的案件，或已申诉后改判的案件，或经高级人民法院审理的公益诉讼案件，或者标的金额为5000万元以上的国内案件或涉外案件。</w:t>
      </w:r>
    </w:p>
    <w:p w14:paraId="652157FD">
      <w:pPr>
        <w:adjustRightInd w:val="0"/>
        <w:spacing w:line="594" w:lineRule="exact"/>
        <w:ind w:firstLine="640" w:firstLineChars="200"/>
        <w:textAlignment w:val="baseline"/>
        <w:rPr>
          <w:color w:val="000000"/>
          <w:szCs w:val="32"/>
          <w:highlight w:val="none"/>
        </w:rPr>
      </w:pPr>
      <w:r>
        <w:rPr>
          <w:rFonts w:hint="eastAsia"/>
          <w:color w:val="000000"/>
          <w:sz w:val="32"/>
          <w:szCs w:val="32"/>
          <w:highlight w:val="none"/>
        </w:rPr>
        <w:t>三、</w:t>
      </w:r>
      <w:r>
        <w:rPr>
          <w:color w:val="000000"/>
          <w:kern w:val="0"/>
          <w:sz w:val="32"/>
          <w:szCs w:val="32"/>
          <w:highlight w:val="none"/>
          <w:lang w:val="zh-CN"/>
        </w:rPr>
        <w:t>重大、疑难、复杂案件是指由中级以上人民法院管辖的一审诉讼案件、再审案件、申诉案件、发回重审案件，人民检察院抗诉案件，民事、行政诉讼一方当事人人数在3人以上的案件，刑事诉讼被告人在3人以上的案件或引起社会普遍关注、在本地区具有较大社会影响的案件，涉外或涉港澳台案件，新类型案件等；办理公司、企业改制、上市、破产、清算、项目建设等非诉讼法律事务。</w:t>
      </w:r>
    </w:p>
    <w:p w14:paraId="76DBAEBD">
      <w:pPr>
        <w:adjustRightInd w:val="0"/>
        <w:snapToGrid w:val="0"/>
        <w:spacing w:line="594" w:lineRule="exact"/>
        <w:ind w:firstLine="640" w:firstLineChars="200"/>
        <w:textAlignment w:val="baseline"/>
        <w:rPr>
          <w:color w:val="000000"/>
          <w:szCs w:val="32"/>
          <w:highlight w:val="none"/>
        </w:rPr>
      </w:pPr>
      <w:r>
        <w:rPr>
          <w:rFonts w:hint="eastAsia"/>
          <w:color w:val="000000"/>
          <w:sz w:val="32"/>
          <w:szCs w:val="32"/>
          <w:highlight w:val="none"/>
        </w:rPr>
        <w:t>四、</w:t>
      </w:r>
      <w:r>
        <w:rPr>
          <w:color w:val="000000"/>
          <w:sz w:val="32"/>
          <w:szCs w:val="32"/>
          <w:highlight w:val="none"/>
        </w:rPr>
        <w:t xml:space="preserve">著作是指有ISBN统一书号、公开出版发行的本专业学术专著或译著。 </w:t>
      </w:r>
    </w:p>
    <w:p w14:paraId="7F509119">
      <w:pPr>
        <w:shd w:val="clear" w:color="auto" w:fill="FFFFFF"/>
        <w:adjustRightInd w:val="0"/>
        <w:spacing w:line="594" w:lineRule="exact"/>
        <w:ind w:firstLine="640" w:firstLineChars="200"/>
        <w:rPr>
          <w:color w:val="000000"/>
          <w:kern w:val="0"/>
          <w:szCs w:val="32"/>
          <w:highlight w:val="none"/>
        </w:rPr>
      </w:pPr>
      <w:r>
        <w:rPr>
          <w:rFonts w:hint="eastAsia"/>
          <w:color w:val="000000"/>
          <w:sz w:val="32"/>
          <w:szCs w:val="32"/>
          <w:highlight w:val="none"/>
        </w:rPr>
        <w:t>五、</w:t>
      </w:r>
      <w:r>
        <w:rPr>
          <w:sz w:val="32"/>
          <w:szCs w:val="32"/>
          <w:highlight w:val="none"/>
        </w:rPr>
        <w:t>论文是指以独著或第一作者在具有CN刊号（国内统一连续出版物号）、ISSN刊号（国际标准连续出版物号）的专业期刊上公开发表本专业研究性学术文章。在</w:t>
      </w:r>
      <w:r>
        <w:rPr>
          <w:color w:val="000000"/>
          <w:kern w:val="0"/>
          <w:sz w:val="32"/>
          <w:szCs w:val="32"/>
          <w:highlight w:val="none"/>
        </w:rPr>
        <w:t>《广西司法</w:t>
      </w:r>
      <w:r>
        <w:rPr>
          <w:rFonts w:hint="eastAsia"/>
          <w:color w:val="000000"/>
          <w:kern w:val="0"/>
          <w:sz w:val="32"/>
          <w:szCs w:val="32"/>
          <w:highlight w:val="none"/>
          <w:lang w:eastAsia="zh-CN"/>
        </w:rPr>
        <w:t>》《</w:t>
      </w:r>
      <w:r>
        <w:rPr>
          <w:color w:val="000000"/>
          <w:kern w:val="0"/>
          <w:sz w:val="32"/>
          <w:szCs w:val="32"/>
          <w:highlight w:val="none"/>
        </w:rPr>
        <w:t>广西律师》上发表的专业性文章或案例分析可计入论文。</w:t>
      </w:r>
    </w:p>
    <w:p w14:paraId="56F98F81">
      <w:pPr>
        <w:adjustRightInd w:val="0"/>
        <w:snapToGrid w:val="0"/>
        <w:spacing w:line="594" w:lineRule="exact"/>
        <w:ind w:firstLine="640" w:firstLineChars="200"/>
        <w:textAlignment w:val="baseline"/>
        <w:rPr>
          <w:color w:val="000000"/>
          <w:kern w:val="0"/>
          <w:szCs w:val="32"/>
          <w:highlight w:val="none"/>
        </w:rPr>
      </w:pPr>
      <w:r>
        <w:rPr>
          <w:rFonts w:hint="eastAsia"/>
          <w:color w:val="000000"/>
          <w:sz w:val="32"/>
          <w:szCs w:val="32"/>
          <w:highlight w:val="none"/>
        </w:rPr>
        <w:t>六、</w:t>
      </w:r>
      <w:r>
        <w:rPr>
          <w:color w:val="000000"/>
          <w:kern w:val="0"/>
          <w:sz w:val="32"/>
          <w:szCs w:val="32"/>
          <w:highlight w:val="none"/>
        </w:rPr>
        <w:t>课题是指市级以上党委、政府及厅级以上业务主管部门下达的课题、项目，应有立项、结项证明材料。</w:t>
      </w:r>
    </w:p>
    <w:p w14:paraId="0FF8FE5D">
      <w:pPr>
        <w:adjustRightInd w:val="0"/>
        <w:spacing w:line="594" w:lineRule="exact"/>
        <w:ind w:firstLine="640" w:firstLineChars="200"/>
        <w:textAlignment w:val="baseline"/>
        <w:rPr>
          <w:color w:val="000000"/>
          <w:szCs w:val="32"/>
          <w:highlight w:val="none"/>
        </w:rPr>
      </w:pPr>
      <w:r>
        <w:rPr>
          <w:rFonts w:hint="eastAsia"/>
          <w:color w:val="000000"/>
          <w:sz w:val="32"/>
          <w:szCs w:val="32"/>
          <w:highlight w:val="none"/>
        </w:rPr>
        <w:t>七、</w:t>
      </w:r>
      <w:r>
        <w:rPr>
          <w:color w:val="000000"/>
          <w:sz w:val="32"/>
          <w:szCs w:val="32"/>
          <w:highlight w:val="none"/>
        </w:rPr>
        <w:t>“大中型企业”具体划分标准参见《国家统计局关于印发统计上大中小微型企业划分办法的通知》（国统字〔2011〕75号）。</w:t>
      </w:r>
    </w:p>
    <w:p w14:paraId="3185ADC3">
      <w:pPr>
        <w:adjustRightInd w:val="0"/>
        <w:spacing w:line="594" w:lineRule="exact"/>
        <w:ind w:firstLine="640" w:firstLineChars="200"/>
        <w:textAlignment w:val="baseline"/>
        <w:rPr>
          <w:color w:val="000000"/>
          <w:szCs w:val="32"/>
          <w:highlight w:val="none"/>
        </w:rPr>
      </w:pPr>
      <w:r>
        <w:rPr>
          <w:rFonts w:hint="eastAsia"/>
          <w:color w:val="000000"/>
          <w:sz w:val="32"/>
          <w:szCs w:val="32"/>
          <w:highlight w:val="none"/>
        </w:rPr>
        <w:t>八、</w:t>
      </w:r>
      <w:r>
        <w:rPr>
          <w:color w:val="000000"/>
          <w:sz w:val="32"/>
          <w:szCs w:val="32"/>
          <w:highlight w:val="none"/>
        </w:rPr>
        <w:t>本条件所称“以上</w:t>
      </w:r>
      <w:bookmarkStart w:id="2" w:name="_GoBack"/>
      <w:r>
        <w:rPr>
          <w:rFonts w:hint="eastAsia"/>
          <w:color w:val="000000"/>
          <w:sz w:val="32"/>
          <w:szCs w:val="32"/>
          <w:highlight w:val="none"/>
          <w:lang w:eastAsia="zh-CN"/>
        </w:rPr>
        <w:t>”“</w:t>
      </w:r>
      <w:bookmarkEnd w:id="2"/>
      <w:r>
        <w:rPr>
          <w:color w:val="000000"/>
          <w:sz w:val="32"/>
          <w:szCs w:val="32"/>
          <w:highlight w:val="none"/>
        </w:rPr>
        <w:t>以下”均含本数。</w:t>
      </w:r>
    </w:p>
    <w:p w14:paraId="0FC0981E">
      <w:pPr>
        <w:adjustRightInd w:val="0"/>
        <w:snapToGrid w:val="0"/>
        <w:spacing w:line="594" w:lineRule="exact"/>
        <w:ind w:firstLine="600" w:firstLineChars="200"/>
        <w:textAlignment w:val="baseline"/>
        <w:rPr>
          <w:szCs w:val="32"/>
          <w:highlight w:val="none"/>
        </w:rPr>
      </w:pPr>
    </w:p>
    <w:p w14:paraId="6F8896D2">
      <w:pPr>
        <w:spacing w:line="594" w:lineRule="exact"/>
        <w:ind w:firstLine="600" w:firstLineChars="200"/>
        <w:textAlignment w:val="baseline"/>
        <w:rPr>
          <w:szCs w:val="32"/>
          <w:highlight w:val="none"/>
        </w:rPr>
      </w:pPr>
    </w:p>
    <w:p w14:paraId="6AA7DB0D">
      <w:pPr>
        <w:snapToGrid w:val="0"/>
        <w:spacing w:line="594" w:lineRule="exact"/>
        <w:ind w:firstLine="648"/>
        <w:textAlignment w:val="baseline"/>
        <w:rPr>
          <w:kern w:val="0"/>
          <w:szCs w:val="32"/>
          <w:highlight w:val="none"/>
        </w:rPr>
      </w:pPr>
    </w:p>
    <w:p w14:paraId="5F24BEFF">
      <w:pPr>
        <w:spacing w:line="594" w:lineRule="exact"/>
        <w:ind w:firstLine="600" w:firstLineChars="200"/>
        <w:rPr>
          <w:rFonts w:hint="eastAsia"/>
          <w:sz w:val="32"/>
          <w:szCs w:val="32"/>
          <w:highlight w:val="none"/>
        </w:rPr>
      </w:pPr>
      <w:r>
        <w:rPr>
          <w:szCs w:val="32"/>
          <w:highlight w:val="none"/>
        </w:rPr>
        <w:br w:type="page"/>
      </w:r>
    </w:p>
    <w:p w14:paraId="75123214">
      <w:pPr>
        <w:spacing w:line="594" w:lineRule="exact"/>
        <w:ind w:firstLine="640" w:firstLineChars="200"/>
        <w:rPr>
          <w:rFonts w:hint="eastAsia"/>
          <w:sz w:val="32"/>
          <w:szCs w:val="32"/>
          <w:highlight w:val="none"/>
        </w:rPr>
      </w:pPr>
    </w:p>
    <w:p w14:paraId="536C1136">
      <w:pPr>
        <w:spacing w:line="594" w:lineRule="exact"/>
        <w:ind w:firstLine="640" w:firstLineChars="200"/>
        <w:rPr>
          <w:rFonts w:hint="eastAsia"/>
          <w:sz w:val="32"/>
          <w:szCs w:val="32"/>
          <w:highlight w:val="none"/>
        </w:rPr>
      </w:pPr>
    </w:p>
    <w:p w14:paraId="650F2CA9">
      <w:pPr>
        <w:spacing w:line="594" w:lineRule="exact"/>
        <w:ind w:firstLine="640" w:firstLineChars="200"/>
        <w:rPr>
          <w:rFonts w:hint="eastAsia"/>
          <w:sz w:val="32"/>
          <w:szCs w:val="32"/>
          <w:highlight w:val="none"/>
        </w:rPr>
      </w:pPr>
    </w:p>
    <w:p w14:paraId="1ECA8C6B">
      <w:pPr>
        <w:spacing w:line="594" w:lineRule="exact"/>
        <w:ind w:firstLine="640" w:firstLineChars="200"/>
        <w:rPr>
          <w:rFonts w:hint="eastAsia"/>
          <w:sz w:val="32"/>
          <w:szCs w:val="32"/>
          <w:highlight w:val="none"/>
        </w:rPr>
      </w:pPr>
    </w:p>
    <w:p w14:paraId="64B8B9FA">
      <w:pPr>
        <w:spacing w:line="594" w:lineRule="exact"/>
        <w:ind w:firstLine="640" w:firstLineChars="200"/>
        <w:rPr>
          <w:rFonts w:hint="eastAsia"/>
          <w:sz w:val="32"/>
          <w:szCs w:val="32"/>
          <w:highlight w:val="none"/>
        </w:rPr>
      </w:pPr>
    </w:p>
    <w:p w14:paraId="1508B445">
      <w:pPr>
        <w:spacing w:line="594" w:lineRule="exact"/>
        <w:ind w:firstLine="640" w:firstLineChars="200"/>
        <w:rPr>
          <w:rFonts w:hint="eastAsia"/>
          <w:sz w:val="32"/>
          <w:szCs w:val="32"/>
          <w:highlight w:val="none"/>
        </w:rPr>
      </w:pPr>
    </w:p>
    <w:p w14:paraId="569E9BCF">
      <w:pPr>
        <w:spacing w:line="594" w:lineRule="exact"/>
        <w:ind w:firstLine="640" w:firstLineChars="200"/>
        <w:rPr>
          <w:rFonts w:hint="eastAsia"/>
          <w:sz w:val="32"/>
          <w:szCs w:val="32"/>
          <w:highlight w:val="none"/>
        </w:rPr>
      </w:pPr>
    </w:p>
    <w:p w14:paraId="7530A9AC">
      <w:pPr>
        <w:spacing w:line="594" w:lineRule="exact"/>
        <w:ind w:firstLine="640" w:firstLineChars="200"/>
        <w:rPr>
          <w:rFonts w:hint="eastAsia"/>
          <w:sz w:val="32"/>
          <w:szCs w:val="32"/>
          <w:highlight w:val="none"/>
        </w:rPr>
      </w:pPr>
    </w:p>
    <w:p w14:paraId="4E48E7F9">
      <w:pPr>
        <w:spacing w:line="594" w:lineRule="exact"/>
        <w:ind w:firstLine="640" w:firstLineChars="200"/>
        <w:rPr>
          <w:rFonts w:hint="eastAsia"/>
          <w:sz w:val="32"/>
          <w:szCs w:val="32"/>
          <w:highlight w:val="none"/>
        </w:rPr>
      </w:pPr>
    </w:p>
    <w:p w14:paraId="03575C66">
      <w:pPr>
        <w:spacing w:line="594" w:lineRule="exact"/>
        <w:ind w:firstLine="640" w:firstLineChars="200"/>
        <w:rPr>
          <w:rFonts w:hint="eastAsia"/>
          <w:sz w:val="32"/>
          <w:szCs w:val="32"/>
          <w:highlight w:val="none"/>
        </w:rPr>
      </w:pPr>
    </w:p>
    <w:p w14:paraId="66A5CA20">
      <w:pPr>
        <w:spacing w:line="594" w:lineRule="exact"/>
        <w:ind w:firstLine="640" w:firstLineChars="200"/>
        <w:rPr>
          <w:rFonts w:hint="eastAsia"/>
          <w:sz w:val="32"/>
          <w:szCs w:val="32"/>
          <w:highlight w:val="none"/>
        </w:rPr>
      </w:pPr>
    </w:p>
    <w:p w14:paraId="0AA9A51D">
      <w:pPr>
        <w:spacing w:line="594" w:lineRule="exact"/>
        <w:ind w:firstLine="640" w:firstLineChars="200"/>
        <w:rPr>
          <w:rFonts w:hint="eastAsia"/>
          <w:sz w:val="32"/>
          <w:szCs w:val="32"/>
          <w:highlight w:val="none"/>
        </w:rPr>
      </w:pPr>
    </w:p>
    <w:p w14:paraId="2EB9495C">
      <w:pPr>
        <w:spacing w:line="594" w:lineRule="exact"/>
        <w:ind w:firstLine="640" w:firstLineChars="200"/>
        <w:rPr>
          <w:rFonts w:hint="eastAsia"/>
          <w:sz w:val="32"/>
          <w:szCs w:val="32"/>
          <w:highlight w:val="none"/>
        </w:rPr>
      </w:pPr>
    </w:p>
    <w:p w14:paraId="001F3586">
      <w:pPr>
        <w:spacing w:line="594" w:lineRule="exact"/>
        <w:ind w:firstLine="640" w:firstLineChars="200"/>
        <w:rPr>
          <w:rFonts w:hint="eastAsia"/>
          <w:sz w:val="32"/>
          <w:szCs w:val="32"/>
          <w:highlight w:val="none"/>
        </w:rPr>
      </w:pPr>
    </w:p>
    <w:p w14:paraId="798C80CD">
      <w:pPr>
        <w:spacing w:line="594" w:lineRule="exact"/>
        <w:ind w:firstLine="640" w:firstLineChars="200"/>
        <w:rPr>
          <w:rFonts w:hint="eastAsia"/>
          <w:sz w:val="32"/>
          <w:szCs w:val="32"/>
          <w:highlight w:val="none"/>
        </w:rPr>
      </w:pPr>
    </w:p>
    <w:p w14:paraId="310E94E5">
      <w:pPr>
        <w:spacing w:line="594" w:lineRule="exact"/>
        <w:ind w:firstLine="640" w:firstLineChars="200"/>
        <w:rPr>
          <w:rFonts w:hint="eastAsia"/>
          <w:sz w:val="32"/>
          <w:szCs w:val="32"/>
          <w:highlight w:val="none"/>
        </w:rPr>
      </w:pPr>
    </w:p>
    <w:p w14:paraId="764D2A29">
      <w:pPr>
        <w:spacing w:line="594" w:lineRule="exact"/>
        <w:ind w:firstLine="640" w:firstLineChars="200"/>
        <w:rPr>
          <w:rFonts w:hint="eastAsia"/>
          <w:sz w:val="32"/>
          <w:szCs w:val="32"/>
          <w:highlight w:val="none"/>
        </w:rPr>
      </w:pPr>
    </w:p>
    <w:p w14:paraId="2B9A5DC9">
      <w:pPr>
        <w:spacing w:line="594" w:lineRule="exact"/>
        <w:ind w:firstLine="640" w:firstLineChars="200"/>
        <w:rPr>
          <w:rFonts w:hint="eastAsia"/>
          <w:sz w:val="32"/>
          <w:szCs w:val="32"/>
          <w:highlight w:val="none"/>
        </w:rPr>
      </w:pPr>
    </w:p>
    <w:p w14:paraId="41D325D5">
      <w:pPr>
        <w:spacing w:line="594" w:lineRule="exact"/>
        <w:ind w:firstLine="600" w:firstLineChars="200"/>
        <w:rPr>
          <w:rFonts w:hint="eastAsia" w:ascii="仿宋_GB2312"/>
          <w:color w:val="000000"/>
          <w:highlight w:val="none"/>
        </w:rPr>
      </w:pPr>
    </w:p>
    <w:p w14:paraId="1A10C163">
      <w:pPr>
        <w:spacing w:line="570" w:lineRule="exact"/>
        <w:rPr>
          <w:rFonts w:ascii="方正小标宋简体" w:eastAsia="方正小标宋简体"/>
          <w:color w:val="000000"/>
          <w:sz w:val="32"/>
          <w:szCs w:val="32"/>
          <w:highlight w:val="none"/>
        </w:rPr>
      </w:pPr>
      <w:r>
        <w:rPr>
          <w:rFonts w:hint="eastAsia" w:ascii="黑体" w:hAnsi="黑体" w:eastAsia="黑体"/>
          <w:color w:val="000000"/>
          <w:sz w:val="32"/>
          <w:szCs w:val="32"/>
          <w:highlight w:val="none"/>
        </w:rPr>
        <w:t>公开方式：</w:t>
      </w:r>
      <w:r>
        <w:rPr>
          <w:rFonts w:hint="eastAsia" w:ascii="方正小标宋简体" w:eastAsia="方正小标宋简体"/>
          <w:color w:val="000000"/>
          <w:sz w:val="32"/>
          <w:szCs w:val="32"/>
          <w:highlight w:val="none"/>
        </w:rPr>
        <w:t>主动公开</w:t>
      </w:r>
    </w:p>
    <w:p w14:paraId="3A115566">
      <w:pPr>
        <w:spacing w:line="570" w:lineRule="exact"/>
        <w:ind w:firstLine="222" w:firstLineChars="74"/>
        <w:rPr>
          <w:rFonts w:hint="eastAsia" w:ascii="方正小标宋_GBK" w:eastAsia="方正小标宋_GBK"/>
          <w:color w:val="000000"/>
          <w:highlight w:val="none"/>
        </w:rPr>
      </w:pPr>
    </w:p>
    <w:tbl>
      <w:tblPr>
        <w:tblStyle w:val="12"/>
        <w:tblW w:w="0" w:type="auto"/>
        <w:tblInd w:w="13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45"/>
      </w:tblGrid>
      <w:tr w14:paraId="707DCF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45" w:type="dxa"/>
            <w:noWrap w:val="0"/>
            <w:vAlign w:val="top"/>
          </w:tcPr>
          <w:p w14:paraId="70E1C0AC">
            <w:pPr>
              <w:ind w:firstLine="75" w:firstLineChars="30"/>
              <w:rPr>
                <w:spacing w:val="-8"/>
                <w:w w:val="96"/>
                <w:sz w:val="28"/>
                <w:szCs w:val="28"/>
                <w:highlight w:val="none"/>
              </w:rPr>
            </w:pPr>
            <w:r>
              <w:rPr>
                <w:rFonts w:hint="eastAsia" w:ascii="仿宋_GB2312" w:hAnsi="宋体"/>
                <w:color w:val="000000"/>
                <w:spacing w:val="-8"/>
                <w:w w:val="96"/>
                <w:sz w:val="28"/>
                <w:szCs w:val="28"/>
                <w:highlight w:val="none"/>
              </w:rPr>
              <w:t xml:space="preserve">广西壮族自治区职称改革工作领导小组办公室       </w:t>
            </w:r>
            <w:r>
              <w:rPr>
                <w:rFonts w:hint="eastAsia" w:ascii="仿宋_GB2312" w:hAnsi="宋体"/>
                <w:color w:val="000000"/>
                <w:spacing w:val="-16"/>
                <w:w w:val="96"/>
                <w:sz w:val="28"/>
                <w:szCs w:val="28"/>
                <w:highlight w:val="none"/>
              </w:rPr>
              <w:t xml:space="preserve">   </w:t>
            </w:r>
            <w:r>
              <w:rPr>
                <w:rFonts w:hint="eastAsia"/>
                <w:spacing w:val="-8"/>
                <w:w w:val="96"/>
                <w:sz w:val="28"/>
                <w:szCs w:val="28"/>
                <w:highlight w:val="none"/>
              </w:rPr>
              <w:t>2021年6月10日印发</w:t>
            </w:r>
          </w:p>
        </w:tc>
      </w:tr>
    </w:tbl>
    <w:p w14:paraId="64A4D73F">
      <w:pPr>
        <w:spacing w:line="20" w:lineRule="exact"/>
        <w:ind w:firstLine="600" w:firstLineChars="200"/>
        <w:rPr>
          <w:rFonts w:hint="eastAsia"/>
          <w:highlight w:val="none"/>
        </w:rPr>
      </w:pPr>
    </w:p>
    <w:sectPr>
      <w:footerReference r:id="rId3" w:type="default"/>
      <w:footerReference r:id="rId4" w:type="even"/>
      <w:pgSz w:w="11906" w:h="16838"/>
      <w:pgMar w:top="1871" w:right="1474" w:bottom="1871" w:left="1474" w:header="851" w:footer="1588" w:gutter="0"/>
      <w:pgNumType w:start="1"/>
      <w:cols w:space="425" w:num="1"/>
      <w:docGrid w:type="lines" w:linePitch="595" w:charSpace="40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B4410">
    <w:pPr>
      <w:pStyle w:val="8"/>
      <w:framePr w:wrap="around" w:vAnchor="text" w:hAnchor="margin" w:xAlign="outside" w:y="1"/>
      <w:rPr>
        <w:rStyle w:val="16"/>
        <w:rFonts w:hint="eastAsia"/>
        <w:sz w:val="28"/>
        <w:szCs w:val="28"/>
      </w:rPr>
    </w:pPr>
    <w:r>
      <w:rPr>
        <w:rStyle w:val="16"/>
        <w:rFonts w:hint="eastAsia"/>
        <w:sz w:val="28"/>
        <w:szCs w:val="28"/>
      </w:rPr>
      <w:t xml:space="preserve">— </w:t>
    </w:r>
    <w:r>
      <w:rPr>
        <w:rStyle w:val="16"/>
        <w:sz w:val="28"/>
        <w:szCs w:val="28"/>
      </w:rPr>
      <w:fldChar w:fldCharType="begin"/>
    </w:r>
    <w:r>
      <w:rPr>
        <w:rStyle w:val="16"/>
        <w:sz w:val="28"/>
        <w:szCs w:val="28"/>
      </w:rPr>
      <w:instrText xml:space="preserve">PAGE  </w:instrText>
    </w:r>
    <w:r>
      <w:rPr>
        <w:rStyle w:val="16"/>
        <w:sz w:val="28"/>
        <w:szCs w:val="28"/>
      </w:rPr>
      <w:fldChar w:fldCharType="separate"/>
    </w:r>
    <w:r>
      <w:rPr>
        <w:rStyle w:val="16"/>
        <w:sz w:val="28"/>
        <w:szCs w:val="28"/>
      </w:rPr>
      <w:t>1</w:t>
    </w:r>
    <w:r>
      <w:rPr>
        <w:rStyle w:val="16"/>
        <w:sz w:val="28"/>
        <w:szCs w:val="28"/>
      </w:rPr>
      <w:fldChar w:fldCharType="end"/>
    </w:r>
    <w:r>
      <w:rPr>
        <w:rStyle w:val="16"/>
        <w:rFonts w:hint="eastAsia"/>
        <w:sz w:val="28"/>
        <w:szCs w:val="28"/>
      </w:rPr>
      <w:t xml:space="preserve"> —</w:t>
    </w:r>
  </w:p>
  <w:p w14:paraId="7B720B67">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45B2C">
    <w:pPr>
      <w:pStyle w:val="8"/>
      <w:framePr w:wrap="around" w:vAnchor="text" w:hAnchor="margin" w:xAlign="outside" w:y="1"/>
      <w:rPr>
        <w:rStyle w:val="16"/>
      </w:rPr>
    </w:pPr>
    <w:r>
      <w:rPr>
        <w:rStyle w:val="16"/>
      </w:rPr>
      <w:fldChar w:fldCharType="begin"/>
    </w:r>
    <w:r>
      <w:rPr>
        <w:rStyle w:val="16"/>
      </w:rPr>
      <w:instrText xml:space="preserve">PAGE  </w:instrText>
    </w:r>
    <w:r>
      <w:rPr>
        <w:rStyle w:val="16"/>
      </w:rPr>
      <w:fldChar w:fldCharType="end"/>
    </w:r>
  </w:p>
  <w:p w14:paraId="5954C3D6">
    <w:pPr>
      <w:pStyle w:val="8"/>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595"/>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jZDgzNzAwZDc5ZTY4MWNmOTExYTMwZTAwNjdlNmMifQ=="/>
  </w:docVars>
  <w:rsids>
    <w:rsidRoot w:val="00E00B9E"/>
    <w:rsid w:val="0000311D"/>
    <w:rsid w:val="000035D0"/>
    <w:rsid w:val="000038CE"/>
    <w:rsid w:val="00004C3E"/>
    <w:rsid w:val="000050FE"/>
    <w:rsid w:val="00005ABC"/>
    <w:rsid w:val="00006AFE"/>
    <w:rsid w:val="00007988"/>
    <w:rsid w:val="000136E9"/>
    <w:rsid w:val="00015771"/>
    <w:rsid w:val="0001770A"/>
    <w:rsid w:val="00021005"/>
    <w:rsid w:val="00025BD0"/>
    <w:rsid w:val="0002771D"/>
    <w:rsid w:val="000320D6"/>
    <w:rsid w:val="000328F1"/>
    <w:rsid w:val="00034D45"/>
    <w:rsid w:val="0003745F"/>
    <w:rsid w:val="00042084"/>
    <w:rsid w:val="00042B8F"/>
    <w:rsid w:val="000442CC"/>
    <w:rsid w:val="0005107B"/>
    <w:rsid w:val="0005128B"/>
    <w:rsid w:val="00052880"/>
    <w:rsid w:val="0005582C"/>
    <w:rsid w:val="000579FF"/>
    <w:rsid w:val="0006232B"/>
    <w:rsid w:val="00067D63"/>
    <w:rsid w:val="00070066"/>
    <w:rsid w:val="00071726"/>
    <w:rsid w:val="00071749"/>
    <w:rsid w:val="00073BFA"/>
    <w:rsid w:val="00075D43"/>
    <w:rsid w:val="00083AA5"/>
    <w:rsid w:val="00086C0B"/>
    <w:rsid w:val="00087CAD"/>
    <w:rsid w:val="0009089F"/>
    <w:rsid w:val="000944C2"/>
    <w:rsid w:val="000A4525"/>
    <w:rsid w:val="000B4380"/>
    <w:rsid w:val="000B5495"/>
    <w:rsid w:val="000C065B"/>
    <w:rsid w:val="000C0F90"/>
    <w:rsid w:val="000C6990"/>
    <w:rsid w:val="000C7187"/>
    <w:rsid w:val="000D0AE8"/>
    <w:rsid w:val="000D10AC"/>
    <w:rsid w:val="000D470B"/>
    <w:rsid w:val="000E0F07"/>
    <w:rsid w:val="000E2407"/>
    <w:rsid w:val="000E2D8C"/>
    <w:rsid w:val="000E6410"/>
    <w:rsid w:val="000E7EDE"/>
    <w:rsid w:val="000F30BD"/>
    <w:rsid w:val="001008F9"/>
    <w:rsid w:val="00101396"/>
    <w:rsid w:val="0010400E"/>
    <w:rsid w:val="00105F07"/>
    <w:rsid w:val="00112B63"/>
    <w:rsid w:val="00113F29"/>
    <w:rsid w:val="001178A6"/>
    <w:rsid w:val="001179F4"/>
    <w:rsid w:val="001234BD"/>
    <w:rsid w:val="0012706B"/>
    <w:rsid w:val="00127AF7"/>
    <w:rsid w:val="001319B3"/>
    <w:rsid w:val="001326CF"/>
    <w:rsid w:val="00132FCC"/>
    <w:rsid w:val="00133837"/>
    <w:rsid w:val="001339DC"/>
    <w:rsid w:val="0014077C"/>
    <w:rsid w:val="00144720"/>
    <w:rsid w:val="00145D64"/>
    <w:rsid w:val="00145EE0"/>
    <w:rsid w:val="001463F2"/>
    <w:rsid w:val="001467F2"/>
    <w:rsid w:val="0014714F"/>
    <w:rsid w:val="00150774"/>
    <w:rsid w:val="001508F9"/>
    <w:rsid w:val="001518FB"/>
    <w:rsid w:val="001665AB"/>
    <w:rsid w:val="0017622F"/>
    <w:rsid w:val="00177022"/>
    <w:rsid w:val="00182982"/>
    <w:rsid w:val="00194CD6"/>
    <w:rsid w:val="001A06EA"/>
    <w:rsid w:val="001A0CA1"/>
    <w:rsid w:val="001A1B20"/>
    <w:rsid w:val="001A2EE1"/>
    <w:rsid w:val="001A67FD"/>
    <w:rsid w:val="001A7B27"/>
    <w:rsid w:val="001B1109"/>
    <w:rsid w:val="001B18C0"/>
    <w:rsid w:val="001B2F89"/>
    <w:rsid w:val="001B4659"/>
    <w:rsid w:val="001B67CC"/>
    <w:rsid w:val="001B6A8E"/>
    <w:rsid w:val="001C2F54"/>
    <w:rsid w:val="001D2C04"/>
    <w:rsid w:val="001D5659"/>
    <w:rsid w:val="001D5DA6"/>
    <w:rsid w:val="001E0FC8"/>
    <w:rsid w:val="001F38ED"/>
    <w:rsid w:val="001F70C1"/>
    <w:rsid w:val="00200E10"/>
    <w:rsid w:val="00202DD1"/>
    <w:rsid w:val="002039BC"/>
    <w:rsid w:val="0021184B"/>
    <w:rsid w:val="00211952"/>
    <w:rsid w:val="00213B08"/>
    <w:rsid w:val="002140F6"/>
    <w:rsid w:val="00220B1F"/>
    <w:rsid w:val="00226430"/>
    <w:rsid w:val="002276A0"/>
    <w:rsid w:val="002304FA"/>
    <w:rsid w:val="00236CE0"/>
    <w:rsid w:val="00236E26"/>
    <w:rsid w:val="00240DD0"/>
    <w:rsid w:val="002520D2"/>
    <w:rsid w:val="002539D3"/>
    <w:rsid w:val="00254DA2"/>
    <w:rsid w:val="0026146F"/>
    <w:rsid w:val="002651EA"/>
    <w:rsid w:val="0026578F"/>
    <w:rsid w:val="00266DDD"/>
    <w:rsid w:val="0027280A"/>
    <w:rsid w:val="002763A2"/>
    <w:rsid w:val="002769C1"/>
    <w:rsid w:val="002910A2"/>
    <w:rsid w:val="0029117A"/>
    <w:rsid w:val="0029405A"/>
    <w:rsid w:val="0029586E"/>
    <w:rsid w:val="002A13CC"/>
    <w:rsid w:val="002B0D22"/>
    <w:rsid w:val="002B210F"/>
    <w:rsid w:val="002B2E44"/>
    <w:rsid w:val="002B3FC3"/>
    <w:rsid w:val="002D2AA8"/>
    <w:rsid w:val="002D512E"/>
    <w:rsid w:val="002D6596"/>
    <w:rsid w:val="002D6CF5"/>
    <w:rsid w:val="002E36D0"/>
    <w:rsid w:val="002F256C"/>
    <w:rsid w:val="002F3808"/>
    <w:rsid w:val="00303C3E"/>
    <w:rsid w:val="00305CD5"/>
    <w:rsid w:val="00314370"/>
    <w:rsid w:val="00314AF7"/>
    <w:rsid w:val="0031716F"/>
    <w:rsid w:val="003250A4"/>
    <w:rsid w:val="00325EA8"/>
    <w:rsid w:val="003331FB"/>
    <w:rsid w:val="0034237F"/>
    <w:rsid w:val="00342DC3"/>
    <w:rsid w:val="00346A9E"/>
    <w:rsid w:val="00352592"/>
    <w:rsid w:val="00352C35"/>
    <w:rsid w:val="00355D97"/>
    <w:rsid w:val="00356FCE"/>
    <w:rsid w:val="0036017E"/>
    <w:rsid w:val="00363597"/>
    <w:rsid w:val="00363F43"/>
    <w:rsid w:val="003649EF"/>
    <w:rsid w:val="00366659"/>
    <w:rsid w:val="00366BB7"/>
    <w:rsid w:val="003761CF"/>
    <w:rsid w:val="00380D76"/>
    <w:rsid w:val="00380DF5"/>
    <w:rsid w:val="0038171A"/>
    <w:rsid w:val="00383643"/>
    <w:rsid w:val="003906B9"/>
    <w:rsid w:val="003926E8"/>
    <w:rsid w:val="003957C5"/>
    <w:rsid w:val="003959FD"/>
    <w:rsid w:val="00396C22"/>
    <w:rsid w:val="003A00E4"/>
    <w:rsid w:val="003A3C65"/>
    <w:rsid w:val="003A5F6D"/>
    <w:rsid w:val="003A7558"/>
    <w:rsid w:val="003A7E35"/>
    <w:rsid w:val="003B25AE"/>
    <w:rsid w:val="003B3DF7"/>
    <w:rsid w:val="003B50D9"/>
    <w:rsid w:val="003C1868"/>
    <w:rsid w:val="003C370B"/>
    <w:rsid w:val="003C4220"/>
    <w:rsid w:val="003C496F"/>
    <w:rsid w:val="003C4C5C"/>
    <w:rsid w:val="003C5F63"/>
    <w:rsid w:val="003D6E48"/>
    <w:rsid w:val="003E133A"/>
    <w:rsid w:val="003E1FF2"/>
    <w:rsid w:val="003E3B34"/>
    <w:rsid w:val="003E44A5"/>
    <w:rsid w:val="003E6C17"/>
    <w:rsid w:val="003E7B6E"/>
    <w:rsid w:val="003F10B8"/>
    <w:rsid w:val="003F51D0"/>
    <w:rsid w:val="003F6E61"/>
    <w:rsid w:val="004000B9"/>
    <w:rsid w:val="004001C3"/>
    <w:rsid w:val="00406B6D"/>
    <w:rsid w:val="00411D64"/>
    <w:rsid w:val="0041615F"/>
    <w:rsid w:val="00427154"/>
    <w:rsid w:val="0043014D"/>
    <w:rsid w:val="004320CC"/>
    <w:rsid w:val="0043485E"/>
    <w:rsid w:val="004370C5"/>
    <w:rsid w:val="004415ED"/>
    <w:rsid w:val="004468EF"/>
    <w:rsid w:val="004470B0"/>
    <w:rsid w:val="0045243B"/>
    <w:rsid w:val="00454BAA"/>
    <w:rsid w:val="00454D58"/>
    <w:rsid w:val="004578F5"/>
    <w:rsid w:val="004624DB"/>
    <w:rsid w:val="00464DAC"/>
    <w:rsid w:val="00466190"/>
    <w:rsid w:val="004705F2"/>
    <w:rsid w:val="00476645"/>
    <w:rsid w:val="00484F06"/>
    <w:rsid w:val="00485D80"/>
    <w:rsid w:val="004861FA"/>
    <w:rsid w:val="00486200"/>
    <w:rsid w:val="00487422"/>
    <w:rsid w:val="004904C5"/>
    <w:rsid w:val="00496D24"/>
    <w:rsid w:val="004A4B48"/>
    <w:rsid w:val="004A78A3"/>
    <w:rsid w:val="004B0A5D"/>
    <w:rsid w:val="004B22C4"/>
    <w:rsid w:val="004B6091"/>
    <w:rsid w:val="004C0ACA"/>
    <w:rsid w:val="004C2A4B"/>
    <w:rsid w:val="004C3861"/>
    <w:rsid w:val="004C3934"/>
    <w:rsid w:val="004C3B6E"/>
    <w:rsid w:val="004C41EC"/>
    <w:rsid w:val="004C7EA4"/>
    <w:rsid w:val="004D04FB"/>
    <w:rsid w:val="004D4B53"/>
    <w:rsid w:val="004D4D8F"/>
    <w:rsid w:val="004E30DF"/>
    <w:rsid w:val="004E4A19"/>
    <w:rsid w:val="004E6D60"/>
    <w:rsid w:val="004F0AFF"/>
    <w:rsid w:val="00501583"/>
    <w:rsid w:val="005057F3"/>
    <w:rsid w:val="00506AE5"/>
    <w:rsid w:val="00506D2B"/>
    <w:rsid w:val="00512645"/>
    <w:rsid w:val="00512DF9"/>
    <w:rsid w:val="00514D7F"/>
    <w:rsid w:val="00515941"/>
    <w:rsid w:val="00515D8E"/>
    <w:rsid w:val="005203F2"/>
    <w:rsid w:val="005228C5"/>
    <w:rsid w:val="005331FC"/>
    <w:rsid w:val="0053558F"/>
    <w:rsid w:val="0053613A"/>
    <w:rsid w:val="00542344"/>
    <w:rsid w:val="00543D36"/>
    <w:rsid w:val="00545565"/>
    <w:rsid w:val="0054666E"/>
    <w:rsid w:val="00552D6F"/>
    <w:rsid w:val="00552E20"/>
    <w:rsid w:val="005530BF"/>
    <w:rsid w:val="00553403"/>
    <w:rsid w:val="0055394D"/>
    <w:rsid w:val="005540E8"/>
    <w:rsid w:val="0056385D"/>
    <w:rsid w:val="00565F7D"/>
    <w:rsid w:val="00566C39"/>
    <w:rsid w:val="00566FA3"/>
    <w:rsid w:val="00567D74"/>
    <w:rsid w:val="00576A2C"/>
    <w:rsid w:val="00576CD7"/>
    <w:rsid w:val="005779A2"/>
    <w:rsid w:val="005847C1"/>
    <w:rsid w:val="00586D7D"/>
    <w:rsid w:val="005928AE"/>
    <w:rsid w:val="005955B3"/>
    <w:rsid w:val="005A05E3"/>
    <w:rsid w:val="005A1108"/>
    <w:rsid w:val="005A345F"/>
    <w:rsid w:val="005A621C"/>
    <w:rsid w:val="005B22A0"/>
    <w:rsid w:val="005C0A72"/>
    <w:rsid w:val="005C1F2A"/>
    <w:rsid w:val="005C2539"/>
    <w:rsid w:val="005C478C"/>
    <w:rsid w:val="005C6560"/>
    <w:rsid w:val="005C73F7"/>
    <w:rsid w:val="005D3D84"/>
    <w:rsid w:val="005D5243"/>
    <w:rsid w:val="005D6E34"/>
    <w:rsid w:val="005E0346"/>
    <w:rsid w:val="005E5AAE"/>
    <w:rsid w:val="005F18A7"/>
    <w:rsid w:val="005F4F43"/>
    <w:rsid w:val="00600A92"/>
    <w:rsid w:val="006015C4"/>
    <w:rsid w:val="00604B81"/>
    <w:rsid w:val="00611369"/>
    <w:rsid w:val="006117A3"/>
    <w:rsid w:val="0061653B"/>
    <w:rsid w:val="00616A6F"/>
    <w:rsid w:val="006221F2"/>
    <w:rsid w:val="0063106A"/>
    <w:rsid w:val="0063577C"/>
    <w:rsid w:val="006431DC"/>
    <w:rsid w:val="00645CB6"/>
    <w:rsid w:val="00650883"/>
    <w:rsid w:val="006528F5"/>
    <w:rsid w:val="00654B2C"/>
    <w:rsid w:val="00656B2A"/>
    <w:rsid w:val="00660A00"/>
    <w:rsid w:val="006647DC"/>
    <w:rsid w:val="00667C54"/>
    <w:rsid w:val="006701F7"/>
    <w:rsid w:val="0067144A"/>
    <w:rsid w:val="00671790"/>
    <w:rsid w:val="006775EA"/>
    <w:rsid w:val="00680EDA"/>
    <w:rsid w:val="0068609B"/>
    <w:rsid w:val="006900B5"/>
    <w:rsid w:val="00693D59"/>
    <w:rsid w:val="006A2642"/>
    <w:rsid w:val="006A2714"/>
    <w:rsid w:val="006A359B"/>
    <w:rsid w:val="006A6F66"/>
    <w:rsid w:val="006B0872"/>
    <w:rsid w:val="006B3D5D"/>
    <w:rsid w:val="006B66C9"/>
    <w:rsid w:val="006B693D"/>
    <w:rsid w:val="006C11A3"/>
    <w:rsid w:val="006D108D"/>
    <w:rsid w:val="006D159A"/>
    <w:rsid w:val="006D4C4E"/>
    <w:rsid w:val="006E27DF"/>
    <w:rsid w:val="006E2D54"/>
    <w:rsid w:val="006E3F14"/>
    <w:rsid w:val="006F1CD8"/>
    <w:rsid w:val="006F384A"/>
    <w:rsid w:val="006F495C"/>
    <w:rsid w:val="006F548D"/>
    <w:rsid w:val="00701C5F"/>
    <w:rsid w:val="00702981"/>
    <w:rsid w:val="00707BCC"/>
    <w:rsid w:val="007123F9"/>
    <w:rsid w:val="007125F2"/>
    <w:rsid w:val="00712615"/>
    <w:rsid w:val="00721212"/>
    <w:rsid w:val="00721DD1"/>
    <w:rsid w:val="007244D4"/>
    <w:rsid w:val="007252BD"/>
    <w:rsid w:val="00725FD6"/>
    <w:rsid w:val="00726B0F"/>
    <w:rsid w:val="007271D0"/>
    <w:rsid w:val="00727408"/>
    <w:rsid w:val="00727B11"/>
    <w:rsid w:val="00731C43"/>
    <w:rsid w:val="0073414E"/>
    <w:rsid w:val="0073451D"/>
    <w:rsid w:val="00740776"/>
    <w:rsid w:val="00746251"/>
    <w:rsid w:val="007468AF"/>
    <w:rsid w:val="00746DFB"/>
    <w:rsid w:val="00747EC4"/>
    <w:rsid w:val="00753D0F"/>
    <w:rsid w:val="00754C34"/>
    <w:rsid w:val="0075619C"/>
    <w:rsid w:val="007611DD"/>
    <w:rsid w:val="00762282"/>
    <w:rsid w:val="00766221"/>
    <w:rsid w:val="0077096B"/>
    <w:rsid w:val="00771024"/>
    <w:rsid w:val="00772F03"/>
    <w:rsid w:val="00772F3B"/>
    <w:rsid w:val="007735E0"/>
    <w:rsid w:val="00777025"/>
    <w:rsid w:val="007778DE"/>
    <w:rsid w:val="00782D38"/>
    <w:rsid w:val="00783BDF"/>
    <w:rsid w:val="007866A6"/>
    <w:rsid w:val="00787200"/>
    <w:rsid w:val="007916D8"/>
    <w:rsid w:val="007927F7"/>
    <w:rsid w:val="00792937"/>
    <w:rsid w:val="007A3814"/>
    <w:rsid w:val="007A42E8"/>
    <w:rsid w:val="007A48C4"/>
    <w:rsid w:val="007B56E6"/>
    <w:rsid w:val="007C0FF3"/>
    <w:rsid w:val="007C702C"/>
    <w:rsid w:val="007D18B4"/>
    <w:rsid w:val="007D2B52"/>
    <w:rsid w:val="007E1375"/>
    <w:rsid w:val="007F43F4"/>
    <w:rsid w:val="007F66BA"/>
    <w:rsid w:val="007F77BE"/>
    <w:rsid w:val="008035C6"/>
    <w:rsid w:val="00803B0F"/>
    <w:rsid w:val="00805D3A"/>
    <w:rsid w:val="008116CC"/>
    <w:rsid w:val="00811B40"/>
    <w:rsid w:val="008160E5"/>
    <w:rsid w:val="00817320"/>
    <w:rsid w:val="00821EC7"/>
    <w:rsid w:val="00826003"/>
    <w:rsid w:val="0083255A"/>
    <w:rsid w:val="00835893"/>
    <w:rsid w:val="00842410"/>
    <w:rsid w:val="00856DC5"/>
    <w:rsid w:val="00857EA3"/>
    <w:rsid w:val="008603BA"/>
    <w:rsid w:val="00860DA6"/>
    <w:rsid w:val="008617AE"/>
    <w:rsid w:val="0086448C"/>
    <w:rsid w:val="0086509D"/>
    <w:rsid w:val="008659E9"/>
    <w:rsid w:val="008670D5"/>
    <w:rsid w:val="00870580"/>
    <w:rsid w:val="00883D0E"/>
    <w:rsid w:val="008848C7"/>
    <w:rsid w:val="00885268"/>
    <w:rsid w:val="0088794D"/>
    <w:rsid w:val="00892C04"/>
    <w:rsid w:val="008A00C0"/>
    <w:rsid w:val="008A1B9B"/>
    <w:rsid w:val="008A22EA"/>
    <w:rsid w:val="008A5061"/>
    <w:rsid w:val="008A587C"/>
    <w:rsid w:val="008A6A47"/>
    <w:rsid w:val="008A6D65"/>
    <w:rsid w:val="008B0AC8"/>
    <w:rsid w:val="008B0F8E"/>
    <w:rsid w:val="008B6629"/>
    <w:rsid w:val="008C5F98"/>
    <w:rsid w:val="008C6890"/>
    <w:rsid w:val="008D246A"/>
    <w:rsid w:val="008D5C2E"/>
    <w:rsid w:val="008E1CFF"/>
    <w:rsid w:val="008E2296"/>
    <w:rsid w:val="008E3E49"/>
    <w:rsid w:val="008E45C3"/>
    <w:rsid w:val="00901129"/>
    <w:rsid w:val="00914C9B"/>
    <w:rsid w:val="0091724B"/>
    <w:rsid w:val="00920253"/>
    <w:rsid w:val="00920431"/>
    <w:rsid w:val="00924D71"/>
    <w:rsid w:val="00924EB9"/>
    <w:rsid w:val="0092756D"/>
    <w:rsid w:val="00927821"/>
    <w:rsid w:val="009315B7"/>
    <w:rsid w:val="00934613"/>
    <w:rsid w:val="0093522E"/>
    <w:rsid w:val="00935844"/>
    <w:rsid w:val="00940B84"/>
    <w:rsid w:val="00945284"/>
    <w:rsid w:val="00951485"/>
    <w:rsid w:val="00951D6A"/>
    <w:rsid w:val="00955C7E"/>
    <w:rsid w:val="00956B38"/>
    <w:rsid w:val="00957A67"/>
    <w:rsid w:val="00957E67"/>
    <w:rsid w:val="009608FD"/>
    <w:rsid w:val="0096295B"/>
    <w:rsid w:val="00964C08"/>
    <w:rsid w:val="00970052"/>
    <w:rsid w:val="009723F2"/>
    <w:rsid w:val="00973408"/>
    <w:rsid w:val="009771A6"/>
    <w:rsid w:val="00980BDD"/>
    <w:rsid w:val="0098165A"/>
    <w:rsid w:val="00986AB0"/>
    <w:rsid w:val="00994A74"/>
    <w:rsid w:val="00995225"/>
    <w:rsid w:val="00997019"/>
    <w:rsid w:val="009A2326"/>
    <w:rsid w:val="009A4104"/>
    <w:rsid w:val="009B2CF3"/>
    <w:rsid w:val="009B47CD"/>
    <w:rsid w:val="009C1065"/>
    <w:rsid w:val="009C7494"/>
    <w:rsid w:val="009D175D"/>
    <w:rsid w:val="009D497D"/>
    <w:rsid w:val="009D7E67"/>
    <w:rsid w:val="009E0E48"/>
    <w:rsid w:val="009E1AA3"/>
    <w:rsid w:val="009E7F66"/>
    <w:rsid w:val="009F20FB"/>
    <w:rsid w:val="009F6213"/>
    <w:rsid w:val="00A107A4"/>
    <w:rsid w:val="00A21524"/>
    <w:rsid w:val="00A2329D"/>
    <w:rsid w:val="00A23754"/>
    <w:rsid w:val="00A2411E"/>
    <w:rsid w:val="00A241CA"/>
    <w:rsid w:val="00A2426A"/>
    <w:rsid w:val="00A31F36"/>
    <w:rsid w:val="00A321C0"/>
    <w:rsid w:val="00A46605"/>
    <w:rsid w:val="00A5187F"/>
    <w:rsid w:val="00A60C44"/>
    <w:rsid w:val="00A64865"/>
    <w:rsid w:val="00A70A31"/>
    <w:rsid w:val="00A7443B"/>
    <w:rsid w:val="00A7482A"/>
    <w:rsid w:val="00A8444E"/>
    <w:rsid w:val="00A84817"/>
    <w:rsid w:val="00A862B4"/>
    <w:rsid w:val="00A868C2"/>
    <w:rsid w:val="00A926DF"/>
    <w:rsid w:val="00A92EC9"/>
    <w:rsid w:val="00A93B3D"/>
    <w:rsid w:val="00A93D38"/>
    <w:rsid w:val="00A94E77"/>
    <w:rsid w:val="00AA1664"/>
    <w:rsid w:val="00AA2801"/>
    <w:rsid w:val="00AA5232"/>
    <w:rsid w:val="00AA55D0"/>
    <w:rsid w:val="00AB096C"/>
    <w:rsid w:val="00AB4354"/>
    <w:rsid w:val="00AB47CC"/>
    <w:rsid w:val="00AC14C8"/>
    <w:rsid w:val="00AC26E6"/>
    <w:rsid w:val="00AC5961"/>
    <w:rsid w:val="00AC67DE"/>
    <w:rsid w:val="00AC6BAE"/>
    <w:rsid w:val="00AD5538"/>
    <w:rsid w:val="00AE170B"/>
    <w:rsid w:val="00AF6C83"/>
    <w:rsid w:val="00B02264"/>
    <w:rsid w:val="00B05E3A"/>
    <w:rsid w:val="00B06432"/>
    <w:rsid w:val="00B068AC"/>
    <w:rsid w:val="00B11469"/>
    <w:rsid w:val="00B177CF"/>
    <w:rsid w:val="00B25681"/>
    <w:rsid w:val="00B257C8"/>
    <w:rsid w:val="00B31E12"/>
    <w:rsid w:val="00B349C5"/>
    <w:rsid w:val="00B37780"/>
    <w:rsid w:val="00B40294"/>
    <w:rsid w:val="00B422B2"/>
    <w:rsid w:val="00B446E7"/>
    <w:rsid w:val="00B4543F"/>
    <w:rsid w:val="00B45E95"/>
    <w:rsid w:val="00B5006F"/>
    <w:rsid w:val="00B518E8"/>
    <w:rsid w:val="00B552C1"/>
    <w:rsid w:val="00B562C0"/>
    <w:rsid w:val="00B579E0"/>
    <w:rsid w:val="00B60597"/>
    <w:rsid w:val="00B643E2"/>
    <w:rsid w:val="00B672A5"/>
    <w:rsid w:val="00B67642"/>
    <w:rsid w:val="00B7135A"/>
    <w:rsid w:val="00B8109A"/>
    <w:rsid w:val="00B82589"/>
    <w:rsid w:val="00B8427F"/>
    <w:rsid w:val="00B85740"/>
    <w:rsid w:val="00B877E6"/>
    <w:rsid w:val="00B90534"/>
    <w:rsid w:val="00B90CE9"/>
    <w:rsid w:val="00B91F9D"/>
    <w:rsid w:val="00B92331"/>
    <w:rsid w:val="00B935BA"/>
    <w:rsid w:val="00B94378"/>
    <w:rsid w:val="00B97CCA"/>
    <w:rsid w:val="00BA010E"/>
    <w:rsid w:val="00BA2528"/>
    <w:rsid w:val="00BB73E1"/>
    <w:rsid w:val="00BC2947"/>
    <w:rsid w:val="00BD57AC"/>
    <w:rsid w:val="00BE15BA"/>
    <w:rsid w:val="00BE56B3"/>
    <w:rsid w:val="00BE6CA6"/>
    <w:rsid w:val="00BF3B37"/>
    <w:rsid w:val="00BF4C59"/>
    <w:rsid w:val="00BF515D"/>
    <w:rsid w:val="00BF62AD"/>
    <w:rsid w:val="00BF7F7B"/>
    <w:rsid w:val="00C1497D"/>
    <w:rsid w:val="00C16B32"/>
    <w:rsid w:val="00C17728"/>
    <w:rsid w:val="00C21742"/>
    <w:rsid w:val="00C26D23"/>
    <w:rsid w:val="00C30D86"/>
    <w:rsid w:val="00C319FB"/>
    <w:rsid w:val="00C352CC"/>
    <w:rsid w:val="00C35681"/>
    <w:rsid w:val="00C365AC"/>
    <w:rsid w:val="00C43BAC"/>
    <w:rsid w:val="00C44DFA"/>
    <w:rsid w:val="00C46550"/>
    <w:rsid w:val="00C46884"/>
    <w:rsid w:val="00C47D15"/>
    <w:rsid w:val="00C550DA"/>
    <w:rsid w:val="00C56EE3"/>
    <w:rsid w:val="00C61765"/>
    <w:rsid w:val="00C72DAD"/>
    <w:rsid w:val="00C74101"/>
    <w:rsid w:val="00C77D40"/>
    <w:rsid w:val="00C806DC"/>
    <w:rsid w:val="00C814CD"/>
    <w:rsid w:val="00C87873"/>
    <w:rsid w:val="00C91F4C"/>
    <w:rsid w:val="00C93F15"/>
    <w:rsid w:val="00C945D1"/>
    <w:rsid w:val="00C95F90"/>
    <w:rsid w:val="00C96143"/>
    <w:rsid w:val="00CA57CF"/>
    <w:rsid w:val="00CA7157"/>
    <w:rsid w:val="00CB0437"/>
    <w:rsid w:val="00CB36EB"/>
    <w:rsid w:val="00CB7605"/>
    <w:rsid w:val="00CC0F4A"/>
    <w:rsid w:val="00CC4AEC"/>
    <w:rsid w:val="00CC5633"/>
    <w:rsid w:val="00CD4E3D"/>
    <w:rsid w:val="00CE0037"/>
    <w:rsid w:val="00CE1F52"/>
    <w:rsid w:val="00CE22D9"/>
    <w:rsid w:val="00CF160B"/>
    <w:rsid w:val="00CF2979"/>
    <w:rsid w:val="00CF3E4C"/>
    <w:rsid w:val="00CF48DF"/>
    <w:rsid w:val="00D06FFC"/>
    <w:rsid w:val="00D11C1C"/>
    <w:rsid w:val="00D13B38"/>
    <w:rsid w:val="00D147C1"/>
    <w:rsid w:val="00D14BD8"/>
    <w:rsid w:val="00D15459"/>
    <w:rsid w:val="00D278F4"/>
    <w:rsid w:val="00D31211"/>
    <w:rsid w:val="00D32900"/>
    <w:rsid w:val="00D344F2"/>
    <w:rsid w:val="00D34CF4"/>
    <w:rsid w:val="00D3573C"/>
    <w:rsid w:val="00D40C19"/>
    <w:rsid w:val="00D43035"/>
    <w:rsid w:val="00D51018"/>
    <w:rsid w:val="00D56BB5"/>
    <w:rsid w:val="00D601D8"/>
    <w:rsid w:val="00D61ACB"/>
    <w:rsid w:val="00D63D65"/>
    <w:rsid w:val="00D675B3"/>
    <w:rsid w:val="00D678E9"/>
    <w:rsid w:val="00D6799F"/>
    <w:rsid w:val="00D75891"/>
    <w:rsid w:val="00D90388"/>
    <w:rsid w:val="00D90753"/>
    <w:rsid w:val="00D91554"/>
    <w:rsid w:val="00DA0A2A"/>
    <w:rsid w:val="00DA194C"/>
    <w:rsid w:val="00DA4383"/>
    <w:rsid w:val="00DA4AAB"/>
    <w:rsid w:val="00DA5738"/>
    <w:rsid w:val="00DB18A7"/>
    <w:rsid w:val="00DB3041"/>
    <w:rsid w:val="00DC00F8"/>
    <w:rsid w:val="00DC19BC"/>
    <w:rsid w:val="00DD4CFC"/>
    <w:rsid w:val="00DD7A44"/>
    <w:rsid w:val="00DE22B3"/>
    <w:rsid w:val="00DE4A7F"/>
    <w:rsid w:val="00DE68A2"/>
    <w:rsid w:val="00DF10DC"/>
    <w:rsid w:val="00DF2424"/>
    <w:rsid w:val="00DF3492"/>
    <w:rsid w:val="00DF4FB7"/>
    <w:rsid w:val="00DF5B3A"/>
    <w:rsid w:val="00DF79D7"/>
    <w:rsid w:val="00DF7BC0"/>
    <w:rsid w:val="00E00B9E"/>
    <w:rsid w:val="00E01DD0"/>
    <w:rsid w:val="00E1120A"/>
    <w:rsid w:val="00E11493"/>
    <w:rsid w:val="00E2393B"/>
    <w:rsid w:val="00E240A3"/>
    <w:rsid w:val="00E42B5A"/>
    <w:rsid w:val="00E461AA"/>
    <w:rsid w:val="00E53B1E"/>
    <w:rsid w:val="00E544A3"/>
    <w:rsid w:val="00E577BE"/>
    <w:rsid w:val="00E60E08"/>
    <w:rsid w:val="00E62BB3"/>
    <w:rsid w:val="00E646AD"/>
    <w:rsid w:val="00E6621F"/>
    <w:rsid w:val="00E71F6C"/>
    <w:rsid w:val="00E72549"/>
    <w:rsid w:val="00E7534E"/>
    <w:rsid w:val="00E76399"/>
    <w:rsid w:val="00E773BF"/>
    <w:rsid w:val="00E822A6"/>
    <w:rsid w:val="00E8449A"/>
    <w:rsid w:val="00E846A7"/>
    <w:rsid w:val="00E86362"/>
    <w:rsid w:val="00E868CE"/>
    <w:rsid w:val="00E908B6"/>
    <w:rsid w:val="00E91021"/>
    <w:rsid w:val="00E93D84"/>
    <w:rsid w:val="00E945A8"/>
    <w:rsid w:val="00E94788"/>
    <w:rsid w:val="00E9635B"/>
    <w:rsid w:val="00EA3A36"/>
    <w:rsid w:val="00EA76B8"/>
    <w:rsid w:val="00EA77B7"/>
    <w:rsid w:val="00EB6687"/>
    <w:rsid w:val="00EC087C"/>
    <w:rsid w:val="00ED3332"/>
    <w:rsid w:val="00ED4EA1"/>
    <w:rsid w:val="00ED5FBC"/>
    <w:rsid w:val="00EE01FD"/>
    <w:rsid w:val="00EE3580"/>
    <w:rsid w:val="00EE3A9B"/>
    <w:rsid w:val="00EE434B"/>
    <w:rsid w:val="00EF1A1D"/>
    <w:rsid w:val="00EF2220"/>
    <w:rsid w:val="00EF2B15"/>
    <w:rsid w:val="00EF3D8F"/>
    <w:rsid w:val="00EF454B"/>
    <w:rsid w:val="00EF6891"/>
    <w:rsid w:val="00EF7DFD"/>
    <w:rsid w:val="00F05308"/>
    <w:rsid w:val="00F05800"/>
    <w:rsid w:val="00F11754"/>
    <w:rsid w:val="00F12181"/>
    <w:rsid w:val="00F14CBC"/>
    <w:rsid w:val="00F208C9"/>
    <w:rsid w:val="00F317D5"/>
    <w:rsid w:val="00F32541"/>
    <w:rsid w:val="00F34BA5"/>
    <w:rsid w:val="00F367C5"/>
    <w:rsid w:val="00F36A4D"/>
    <w:rsid w:val="00F37A84"/>
    <w:rsid w:val="00F406A8"/>
    <w:rsid w:val="00F411CE"/>
    <w:rsid w:val="00F47823"/>
    <w:rsid w:val="00F53F54"/>
    <w:rsid w:val="00F552F8"/>
    <w:rsid w:val="00F605A4"/>
    <w:rsid w:val="00F62198"/>
    <w:rsid w:val="00F65AD4"/>
    <w:rsid w:val="00F67349"/>
    <w:rsid w:val="00F677D6"/>
    <w:rsid w:val="00F67CA3"/>
    <w:rsid w:val="00F67F40"/>
    <w:rsid w:val="00F73612"/>
    <w:rsid w:val="00F746C2"/>
    <w:rsid w:val="00F75A31"/>
    <w:rsid w:val="00F76E06"/>
    <w:rsid w:val="00F80B03"/>
    <w:rsid w:val="00F86998"/>
    <w:rsid w:val="00F92F78"/>
    <w:rsid w:val="00F93F95"/>
    <w:rsid w:val="00F94457"/>
    <w:rsid w:val="00F948C0"/>
    <w:rsid w:val="00F94919"/>
    <w:rsid w:val="00F95AFB"/>
    <w:rsid w:val="00F97276"/>
    <w:rsid w:val="00FA2532"/>
    <w:rsid w:val="00FA2F92"/>
    <w:rsid w:val="00FA4731"/>
    <w:rsid w:val="00FB56EB"/>
    <w:rsid w:val="00FB59F1"/>
    <w:rsid w:val="00FB685A"/>
    <w:rsid w:val="00FB7EDD"/>
    <w:rsid w:val="00FC07D3"/>
    <w:rsid w:val="00FC160F"/>
    <w:rsid w:val="00FC26BD"/>
    <w:rsid w:val="00FC27BE"/>
    <w:rsid w:val="00FC5204"/>
    <w:rsid w:val="00FC574A"/>
    <w:rsid w:val="00FC6369"/>
    <w:rsid w:val="00FD58A0"/>
    <w:rsid w:val="00FD7A8A"/>
    <w:rsid w:val="00FE1C06"/>
    <w:rsid w:val="00FE63FC"/>
    <w:rsid w:val="00FF1068"/>
    <w:rsid w:val="00FF46F8"/>
    <w:rsid w:val="00FF7298"/>
    <w:rsid w:val="01AE15BA"/>
    <w:rsid w:val="0DF26CD2"/>
    <w:rsid w:val="161D1F26"/>
    <w:rsid w:val="19510D51"/>
    <w:rsid w:val="22C32593"/>
    <w:rsid w:val="23045086"/>
    <w:rsid w:val="23AC56FC"/>
    <w:rsid w:val="246833F2"/>
    <w:rsid w:val="2480073C"/>
    <w:rsid w:val="2B294547"/>
    <w:rsid w:val="3025663B"/>
    <w:rsid w:val="40BF51BC"/>
    <w:rsid w:val="48B3728F"/>
    <w:rsid w:val="4FB9321D"/>
    <w:rsid w:val="5AC04072"/>
    <w:rsid w:val="5C9C6B20"/>
    <w:rsid w:val="66822FE0"/>
    <w:rsid w:val="674F5770"/>
    <w:rsid w:val="69091DB8"/>
    <w:rsid w:val="6F511916"/>
    <w:rsid w:val="737860E9"/>
    <w:rsid w:val="74B66E2F"/>
    <w:rsid w:val="7C76494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annotation text"/>
    <w:basedOn w:val="1"/>
    <w:link w:val="24"/>
    <w:semiHidden/>
    <w:qFormat/>
    <w:uiPriority w:val="0"/>
    <w:pPr>
      <w:jc w:val="left"/>
    </w:pPr>
  </w:style>
  <w:style w:type="paragraph" w:styleId="3">
    <w:name w:val="Body Text Indent"/>
    <w:basedOn w:val="1"/>
    <w:link w:val="26"/>
    <w:qFormat/>
    <w:uiPriority w:val="0"/>
    <w:pPr>
      <w:ind w:firstLine="480" w:firstLineChars="200"/>
    </w:pPr>
    <w:rPr>
      <w:rFonts w:eastAsia="宋体"/>
      <w:sz w:val="24"/>
      <w:szCs w:val="24"/>
    </w:rPr>
  </w:style>
  <w:style w:type="paragraph" w:styleId="4">
    <w:name w:val="Plain Text"/>
    <w:basedOn w:val="1"/>
    <w:link w:val="28"/>
    <w:qFormat/>
    <w:uiPriority w:val="0"/>
    <w:pPr>
      <w:ind w:firstLine="200" w:firstLineChars="200"/>
    </w:pPr>
    <w:rPr>
      <w:rFonts w:ascii="宋体" w:hAnsi="Courier New" w:eastAsia="宋体" w:cs="Courier New"/>
      <w:sz w:val="21"/>
      <w:szCs w:val="21"/>
    </w:rPr>
  </w:style>
  <w:style w:type="paragraph" w:styleId="5">
    <w:name w:val="Date"/>
    <w:basedOn w:val="1"/>
    <w:next w:val="1"/>
    <w:uiPriority w:val="0"/>
    <w:pPr>
      <w:ind w:left="100" w:leftChars="2500"/>
    </w:pPr>
    <w:rPr>
      <w:szCs w:val="24"/>
    </w:rPr>
  </w:style>
  <w:style w:type="paragraph" w:styleId="6">
    <w:name w:val="Body Text Indent 2"/>
    <w:basedOn w:val="1"/>
    <w:qFormat/>
    <w:uiPriority w:val="0"/>
    <w:pPr>
      <w:spacing w:after="120" w:line="480" w:lineRule="auto"/>
      <w:ind w:left="420" w:leftChars="200"/>
    </w:pPr>
  </w:style>
  <w:style w:type="paragraph" w:styleId="7">
    <w:name w:val="Balloon Text"/>
    <w:basedOn w:val="1"/>
    <w:link w:val="20"/>
    <w:semiHidden/>
    <w:qFormat/>
    <w:uiPriority w:val="0"/>
    <w:rPr>
      <w:sz w:val="18"/>
      <w:szCs w:val="18"/>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qFormat/>
    <w:uiPriority w:val="0"/>
    <w:pPr>
      <w:widowControl w:val="0"/>
      <w:spacing w:before="100" w:beforeAutospacing="1" w:after="100" w:afterAutospacing="1"/>
    </w:pPr>
    <w:rPr>
      <w:rFonts w:ascii="Calibri" w:hAnsi="Calibri" w:eastAsia="宋体" w:cs="Times New Roman"/>
      <w:sz w:val="24"/>
      <w:szCs w:val="24"/>
      <w:lang w:val="en-US" w:eastAsia="zh-CN" w:bidi="ar-SA"/>
    </w:rPr>
  </w:style>
  <w:style w:type="paragraph" w:styleId="11">
    <w:name w:val="annotation subject"/>
    <w:basedOn w:val="2"/>
    <w:next w:val="2"/>
    <w:link w:val="25"/>
    <w:unhideWhenUsed/>
    <w:qFormat/>
    <w:uiPriority w:val="0"/>
    <w:rPr>
      <w:rFonts w:eastAsia="宋体"/>
      <w:b/>
      <w:bCs/>
      <w:kern w:val="0"/>
      <w:sz w:val="20"/>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rPr>
  </w:style>
  <w:style w:type="character" w:styleId="16">
    <w:name w:val="page number"/>
    <w:basedOn w:val="14"/>
    <w:qFormat/>
    <w:uiPriority w:val="0"/>
  </w:style>
  <w:style w:type="character" w:styleId="17">
    <w:name w:val="Hyperlink"/>
    <w:basedOn w:val="14"/>
    <w:qFormat/>
    <w:uiPriority w:val="0"/>
    <w:rPr>
      <w:color w:val="0000FF"/>
      <w:u w:val="single"/>
    </w:rPr>
  </w:style>
  <w:style w:type="character" w:styleId="18">
    <w:name w:val="annotation reference"/>
    <w:unhideWhenUsed/>
    <w:qFormat/>
    <w:uiPriority w:val="0"/>
    <w:rPr>
      <w:sz w:val="21"/>
      <w:szCs w:val="21"/>
    </w:rPr>
  </w:style>
  <w:style w:type="character" w:customStyle="1" w:styleId="19">
    <w:name w:val=" Char Char7"/>
    <w:link w:val="8"/>
    <w:qFormat/>
    <w:uiPriority w:val="0"/>
    <w:rPr>
      <w:rFonts w:eastAsia="仿宋_GB2312"/>
      <w:kern w:val="2"/>
      <w:sz w:val="18"/>
      <w:szCs w:val="18"/>
      <w:lang w:val="en-US" w:eastAsia="zh-CN" w:bidi="ar-SA"/>
    </w:rPr>
  </w:style>
  <w:style w:type="character" w:customStyle="1" w:styleId="20">
    <w:name w:val=" Char Char5"/>
    <w:link w:val="7"/>
    <w:semiHidden/>
    <w:qFormat/>
    <w:uiPriority w:val="0"/>
    <w:rPr>
      <w:rFonts w:eastAsia="仿宋_GB2312"/>
      <w:kern w:val="2"/>
      <w:sz w:val="18"/>
      <w:szCs w:val="18"/>
      <w:lang w:val="en-US" w:eastAsia="zh-CN" w:bidi="ar-SA"/>
    </w:rPr>
  </w:style>
  <w:style w:type="paragraph" w:customStyle="1" w:styleId="21">
    <w:name w:val=" Char"/>
    <w:basedOn w:val="1"/>
    <w:qFormat/>
    <w:uiPriority w:val="0"/>
  </w:style>
  <w:style w:type="paragraph" w:customStyle="1" w:styleId="22">
    <w:name w:val=" Char Char Char Char"/>
    <w:basedOn w:val="1"/>
    <w:qFormat/>
    <w:uiPriority w:val="0"/>
  </w:style>
  <w:style w:type="character" w:customStyle="1" w:styleId="23">
    <w:name w:val=" Char Char4"/>
    <w:basedOn w:val="14"/>
    <w:link w:val="9"/>
    <w:qFormat/>
    <w:uiPriority w:val="0"/>
    <w:rPr>
      <w:kern w:val="2"/>
      <w:sz w:val="18"/>
      <w:szCs w:val="18"/>
    </w:rPr>
  </w:style>
  <w:style w:type="character" w:customStyle="1" w:styleId="24">
    <w:name w:val=" Char Char3"/>
    <w:basedOn w:val="14"/>
    <w:link w:val="2"/>
    <w:semiHidden/>
    <w:qFormat/>
    <w:uiPriority w:val="0"/>
    <w:rPr>
      <w:rFonts w:eastAsia="仿宋_GB2312"/>
      <w:kern w:val="2"/>
      <w:sz w:val="30"/>
      <w:szCs w:val="30"/>
      <w:lang w:val="en-US" w:eastAsia="zh-CN" w:bidi="ar-SA"/>
    </w:rPr>
  </w:style>
  <w:style w:type="character" w:customStyle="1" w:styleId="25">
    <w:name w:val=" Char Char2"/>
    <w:link w:val="11"/>
    <w:semiHidden/>
    <w:qFormat/>
    <w:uiPriority w:val="0"/>
    <w:rPr>
      <w:b/>
      <w:bCs/>
      <w:lang w:bidi="ar-SA"/>
    </w:rPr>
  </w:style>
  <w:style w:type="character" w:customStyle="1" w:styleId="26">
    <w:name w:val=" Char Char"/>
    <w:basedOn w:val="14"/>
    <w:link w:val="3"/>
    <w:qFormat/>
    <w:uiPriority w:val="0"/>
    <w:rPr>
      <w:rFonts w:eastAsia="宋体"/>
      <w:kern w:val="2"/>
      <w:sz w:val="24"/>
      <w:szCs w:val="24"/>
      <w:lang w:val="en-US" w:eastAsia="zh-CN" w:bidi="ar-SA"/>
    </w:rPr>
  </w:style>
  <w:style w:type="paragraph" w:customStyle="1" w:styleId="27">
    <w:name w:val="列出段落1"/>
    <w:basedOn w:val="1"/>
    <w:qFormat/>
    <w:uiPriority w:val="0"/>
    <w:pPr>
      <w:ind w:firstLine="420" w:firstLineChars="200"/>
    </w:pPr>
    <w:rPr>
      <w:rFonts w:ascii="Calibri" w:hAnsi="Calibri" w:eastAsia="宋体"/>
      <w:sz w:val="21"/>
      <w:szCs w:val="24"/>
    </w:rPr>
  </w:style>
  <w:style w:type="character" w:customStyle="1" w:styleId="28">
    <w:name w:val=" Char Char1"/>
    <w:basedOn w:val="14"/>
    <w:link w:val="4"/>
    <w:qFormat/>
    <w:locked/>
    <w:uiPriority w:val="0"/>
    <w:rPr>
      <w:rFonts w:ascii="宋体" w:hAnsi="Courier New" w:eastAsia="宋体" w:cs="Courier New"/>
      <w:kern w:val="2"/>
      <w:sz w:val="21"/>
      <w:szCs w:val="21"/>
      <w:lang w:val="en-US" w:eastAsia="zh-CN" w:bidi="ar-SA"/>
    </w:rPr>
  </w:style>
  <w:style w:type="paragraph" w:customStyle="1" w:styleId="29">
    <w:name w:val="custom_unionstyl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0">
    <w:name w:val=" Char Char6"/>
    <w:qFormat/>
    <w:uiPriority w:val="0"/>
    <w:rPr>
      <w:rFonts w:eastAsia="仿宋_GB2312"/>
      <w:kern w:val="2"/>
      <w:sz w:val="18"/>
      <w:szCs w:val="1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ace419a3-a326-4062-a0c0-5d33189ca553</errorID>
      <errorWord>,</errorWord>
      <group>L1_Format</group>
      <groupName>格式问题</groupName>
      <ability>L2_HalfPunc_CN</ability>
      <abilityName>全半角检查</abilityName>
      <candidateList>
        <item>，</item>
      </candidateList>
      <explain>文本全半角错误。</explain>
      <paraID>34939E19</paraID>
      <start>23</start>
      <end>24</end>
      <status>modified</status>
      <modifiedWord>，</modifiedWord>
      <trackRevisions>false</trackRevisions>
    </reviewItem>
    <reviewItem>
      <errorID>48fac38b-fce2-4049-9aa8-56c58879fa56</errorID>
      <errorWord>,</errorWord>
      <group>L1_Word</group>
      <groupName>字词问题</groupName>
      <ability>L2_Typo</ability>
      <abilityName>字词错误</abilityName>
      <candidateList>
        <item>,具</item>
      </candidateList>
      <explain/>
      <paraID>34939E19</paraID>
      <start>47</start>
      <end>48</end>
      <status>ignored</status>
      <modifiedWord/>
      <trackRevisions>false</trackRevisions>
    </reviewItem>
    <reviewItem>
      <errorID>b472baaf-0667-44fd-b253-38bdb1cca755</errorID>
      <errorWord>;</errorWord>
      <group>L1_Format</group>
      <groupName>格式问题</groupName>
      <ability>L2_HalfPunc_CN</ability>
      <abilityName>全半角检查</abilityName>
      <candidateList>
        <item>；</item>
      </candidateList>
      <explain>文本全半角错误。</explain>
      <paraID>34939E19</paraID>
      <start>134</start>
      <end>135</end>
      <status>modified</status>
      <modifiedWord>；</modifiedWord>
      <trackRevisions>false</trackRevisions>
    </reviewItem>
    <reviewItem>
      <errorID>a5592609-ecf1-406d-8352-177489f84dff</errorID>
      <errorWord>是本</errorWord>
      <group>L1_Word</group>
      <groupName>字词问题</groupName>
      <ability>L2_Typo</ability>
      <abilityName>字词错误</abilityName>
      <candidateList>
        <item>是</item>
      </candidateList>
      <explain/>
      <paraID>34939E19</paraID>
      <start>164</start>
      <end>166</end>
      <status>ignored</status>
      <modifiedWord/>
      <trackRevisions>false</trackRevisions>
    </reviewItem>
    <reviewItem>
      <errorID>68b751bd-9810-409e-abdd-fcae7cf9b5aa</errorID>
      <errorWord>，</errorWord>
      <group>L1_Word</group>
      <groupName>字词问题</groupName>
      <ability>L2_Typo</ability>
      <abilityName>字词错误</abilityName>
      <candidateList>
        <item>，具</item>
      </candidateList>
      <explain/>
      <paraID>2AEC5D75</paraID>
      <start>46</start>
      <end>47</end>
      <status>ignored</status>
      <modifiedWord/>
      <trackRevisions>false</trackRevisions>
    </reviewItem>
    <reviewItem>
      <errorID>6fe1bd9d-9509-4845-a60f-79be040abf49</errorID>
      <errorWord>维护社会公平和正义</errorWord>
      <group>L1_Political</group>
      <groupName>政治性问题</groupName>
      <ability>L2_Keyword</ability>
      <abilityName>固定表述</abilityName>
      <candidateList>
        <item>维护社会公平正义</item>
      </candidateList>
      <explain>词汇“维护社会公平正义”在特定场景下为固定表述形式，请确认此处的“维护社会公平和正义”是否存在不当。</explain>
      <paraID>2AEC5D75</paraID>
      <start>123</start>
      <end>132</end>
      <status>ignored</status>
      <modifiedWord/>
      <trackRevisions>false</trackRevisions>
    </reviewItem>
    <reviewItem>
      <errorID>f4276115-2429-4b3f-9205-5fa738615b50</errorID>
      <errorWord>文</errorWord>
      <group>L1_Word</group>
      <groupName>字词问题</groupName>
      <ability>L2_Typo</ability>
      <abilityName>字词错误</abilityName>
      <candidateList>
        <item>文件</item>
      </candidateList>
      <explain/>
      <paraID>64506FF4</paraID>
      <start>53</start>
      <end>54</end>
      <status>ignored</status>
      <modifiedWord/>
      <trackRevisions>false</trackRevisions>
    </reviewItem>
    <reviewItem>
      <errorID>54ef05ba-b9ff-44dc-8e74-d3165b74c2c5</errorID>
      <errorWord>，</errorWord>
      <group>L1_Word</group>
      <groupName>字词问题</groupName>
      <ability>L2_Typo</ability>
      <abilityName>字词错误</abilityName>
      <candidateList>
        <item>，具</item>
      </candidateList>
      <explain/>
      <paraID>791A6787</paraID>
      <start>49</start>
      <end>50</end>
      <status>ignored</status>
      <modifiedWord/>
      <trackRevisions>false</trackRevisions>
    </reviewItem>
    <reviewItem>
      <errorID>7936f93b-5295-4bfa-9461-e7e509fc4af6</errorID>
      <errorWord>，</errorWord>
      <group>L1_Word</group>
      <groupName>字词问题</groupName>
      <ability>L2_Typo</ability>
      <abilityName>字词错误</abilityName>
      <candidateList>
        <item>，具</item>
      </candidateList>
      <explain/>
      <paraID>56800095</paraID>
      <start>46</start>
      <end>47</end>
      <status>ignored</status>
      <modifiedWord/>
      <trackRevisions>false</trackRevisions>
    </reviewItem>
    <reviewItem>
      <errorID>9b7e22b6-6385-489a-b207-5db5b67e6db4</errorID>
      <errorWord>维护社会公平和正义</errorWord>
      <group>L1_Political</group>
      <groupName>政治性问题</groupName>
      <ability>L2_Keyword</ability>
      <abilityName>固定表述</abilityName>
      <candidateList>
        <item>维护社会公平正义</item>
      </candidateList>
      <explain>词汇“维护社会公平正义”在特定场景下为固定表述形式，请确认此处的“维护社会公平和正义”是否存在不当。</explain>
      <paraID>56800095</paraID>
      <start>123</start>
      <end>132</end>
      <status>ignored</status>
      <modifiedWord/>
      <trackRevisions>false</trackRevisions>
    </reviewItem>
    <reviewItem>
      <errorID>ca2991f8-dd2f-4974-b679-c390653fda40</errorID>
      <errorWord>文</errorWord>
      <group>L1_Word</group>
      <groupName>字词问题</groupName>
      <ability>L2_Typo</ability>
      <abilityName>字词错误</abilityName>
      <candidateList>
        <item>文件</item>
      </candidateList>
      <explain/>
      <paraID>539B6452</paraID>
      <start>54</start>
      <end>55</end>
      <status>ignored</status>
      <modifiedWord/>
      <trackRevisions>false</trackRevisions>
    </reviewItem>
    <reviewItem>
      <errorID>b008256f-5b02-427e-b014-03eb6794d4d1</errorID>
      <errorWord>；</errorWord>
      <group>L1_Word</group>
      <groupName>字词问题</groupName>
      <ability>L2_Typo</ability>
      <abilityName>字词错误</abilityName>
      <candidateList>
        <item>；具</item>
      </candidateList>
      <explain/>
      <paraID>2BD11B43</paraID>
      <start>67</start>
      <end>68</end>
      <status>ignored</status>
      <modifiedWord/>
      <trackRevisions>false</trackRevisions>
    </reviewItem>
    <reviewItem>
      <errorID>3984e10e-7c9b-4498-9386-985ca782a955</errorID>
      <errorWord>，</errorWord>
      <group>L1_Word</group>
      <groupName>字词问题</groupName>
      <ability>L2_Typo</ability>
      <abilityName>字词错误</abilityName>
      <candidateList>
        <item>，具</item>
      </candidateList>
      <explain/>
      <paraID> B21F627</paraID>
      <start>46</start>
      <end>47</end>
      <status>ignored</status>
      <modifiedWord/>
      <trackRevisions>false</trackRevisions>
    </reviewItem>
    <reviewItem>
      <errorID>06e69464-1b1a-4732-a645-1c35109f8c03</errorID>
      <errorWord>维护社会公平和正义</errorWord>
      <group>L1_Political</group>
      <groupName>政治性问题</groupName>
      <ability>L2_Keyword</ability>
      <abilityName>固定表述</abilityName>
      <candidateList>
        <item>维护社会公平正义</item>
      </candidateList>
      <explain>词汇“维护社会公平正义”在特定场景下为固定表述形式，请确认此处的“维护社会公平和正义”是否存在不当。</explain>
      <paraID> B21F627</paraID>
      <start>123</start>
      <end>132</end>
      <status>ignored</status>
      <modifiedWord/>
      <trackRevisions>false</trackRevisions>
    </reviewItem>
    <reviewItem>
      <errorID>91d4f688-64ce-4c4d-b511-07ea0107603b</errorID>
      <errorWord>二名</errorWord>
      <group>L1_Word</group>
      <groupName>字词问题</groupName>
      <ability>L2_Typo</ability>
      <abilityName>字词错误</abilityName>
      <candidateList>
        <item>两名</item>
      </candidateList>
      <explain/>
      <paraID>32567D87</paraID>
      <start>54</start>
      <end>56</end>
      <status>ignored</status>
      <modifiedWord/>
      <trackRevisions>false</trackRevisions>
    </reviewItem>
    <reviewItem>
      <errorID>5d63d7ab-d8b1-453e-a016-ac8a46704207</errorID>
      <errorWord>，</errorWord>
      <group>L1_Word</group>
      <groupName>字词问题</groupName>
      <ability>L2_Typo</ability>
      <abilityName>字词错误</abilityName>
      <candidateList>
        <item>，具</item>
      </candidateList>
      <explain/>
      <paraID>7FBF1E81</paraID>
      <start>46</start>
      <end>47</end>
      <status>ignored</status>
      <modifiedWord/>
      <trackRevisions>false</trackRevisions>
    </reviewItem>
    <reviewItem>
      <errorID>2189b6e7-02f9-4eb1-bba2-764e2e6e78a5</errorID>
      <errorWord>维护社会公平和正义</errorWord>
      <group>L1_Political</group>
      <groupName>政治性问题</groupName>
      <ability>L2_Keyword</ability>
      <abilityName>固定表述</abilityName>
      <candidateList>
        <item>维护社会公平正义</item>
      </candidateList>
      <explain>词汇“维护社会公平正义”在特定场景下为固定表述形式，请确认此处的“维护社会公平和正义”是否存在不当。</explain>
      <paraID>7FBF1E81</paraID>
      <start>123</start>
      <end>132</end>
      <status>ignored</status>
      <modifiedWord/>
      <trackRevisions>false</trackRevisions>
    </reviewItem>
    <reviewItem>
      <errorID>269c5440-cf13-4944-a256-cbbcb75a6688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7F509119</paraID>
      <start>79</start>
      <end>81</end>
      <status>modified</status>
      <modifiedWord>》《</modifiedWord>
      <trackRevisions>false</trackRevisions>
    </reviewItem>
    <reviewItem>
      <errorID>a2c3b0cc-42d5-415c-ab59-8187ac2ed33a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3185ADC3</paraID>
      <start>10</start>
      <end>12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8682343-e7d4-43ab-aca8-17737c269ebb}">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20</Pages>
  <Words>7207</Words>
  <Characters>7257</Characters>
  <Lines>53</Lines>
  <Paragraphs>15</Paragraphs>
  <TotalTime>4</TotalTime>
  <ScaleCrop>false</ScaleCrop>
  <LinksUpToDate>false</LinksUpToDate>
  <CharactersWithSpaces>7329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2020-03-27T11:44:00Z</dcterms:created>
  <dc:creator>User</dc:creator>
  <cp:lastModifiedBy>布丁</cp:lastModifiedBy>
  <cp:lastPrinted>2021-06-15T02:12:00Z</cp:lastPrinted>
  <dcterms:modified xsi:type="dcterms:W3CDTF">2026-08-06T00:23:48Z</dcterms:modified>
  <dc:title>关于开展二〇一二年度专业技术资格</dc:title>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31B6375D08A44BC4B818F22B1014AD07_13</vt:lpwstr>
  </property>
  <property fmtid="{D5CDD505-2E9C-101B-9397-08002B2CF9AE}" pid="4" name="KSOTemplateDocerSaveRecord">
    <vt:lpwstr>eyJoZGlkIjoiOTBkZmJiYWY3YmQwMzFkNTgxODY0ZmE2MWZhOGY4MTQiLCJ1c2VySWQiOiI3MTQyMzk5MDUifQ==</vt:lpwstr>
  </property>
</Properties>
</file>